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175" w:type="dxa"/>
        <w:tblLook w:val="04A0" w:firstRow="1" w:lastRow="0" w:firstColumn="1" w:lastColumn="0" w:noHBand="0" w:noVBand="1"/>
      </w:tblPr>
      <w:tblGrid>
        <w:gridCol w:w="1509"/>
        <w:gridCol w:w="1468"/>
        <w:gridCol w:w="2324"/>
        <w:gridCol w:w="4622"/>
        <w:gridCol w:w="4252"/>
      </w:tblGrid>
      <w:tr w:rsidR="00134D0C" w:rsidRPr="00EF2937" w14:paraId="09ACAE87" w14:textId="77777777" w:rsidTr="00EF2937">
        <w:trPr>
          <w:trHeight w:val="360"/>
        </w:trPr>
        <w:tc>
          <w:tcPr>
            <w:tcW w:w="14175" w:type="dxa"/>
            <w:gridSpan w:val="5"/>
            <w:tcBorders>
              <w:top w:val="nil"/>
              <w:left w:val="nil"/>
              <w:bottom w:val="single" w:sz="4" w:space="0" w:color="auto"/>
              <w:right w:val="nil"/>
            </w:tcBorders>
            <w:shd w:val="clear" w:color="auto" w:fill="auto"/>
            <w:noWrap/>
            <w:vAlign w:val="bottom"/>
            <w:hideMark/>
          </w:tcPr>
          <w:p w14:paraId="41316CA8" w14:textId="17EBBB6C" w:rsidR="00134D0C" w:rsidRPr="00EF2937" w:rsidRDefault="004426BB" w:rsidP="00134D0C">
            <w:pPr>
              <w:jc w:val="center"/>
              <w:rPr>
                <w:rFonts w:ascii="Century Gothic" w:hAnsi="Century Gothic" w:cs="Arial"/>
                <w:b/>
                <w:bCs/>
                <w:sz w:val="22"/>
                <w:szCs w:val="22"/>
              </w:rPr>
            </w:pPr>
            <w:r w:rsidRPr="00EF2937">
              <w:rPr>
                <w:rFonts w:ascii="Century Gothic" w:hAnsi="Century Gothic" w:cs="Arial"/>
                <w:b/>
                <w:bCs/>
                <w:sz w:val="22"/>
                <w:szCs w:val="22"/>
              </w:rPr>
              <w:t xml:space="preserve">BSA </w:t>
            </w:r>
            <w:r w:rsidR="00134D0C" w:rsidRPr="00EF2937">
              <w:rPr>
                <w:rFonts w:ascii="Century Gothic" w:hAnsi="Century Gothic" w:cs="Arial"/>
                <w:b/>
                <w:bCs/>
                <w:sz w:val="22"/>
                <w:szCs w:val="22"/>
              </w:rPr>
              <w:t>Practice Guidance Tinnitus in Adults</w:t>
            </w:r>
          </w:p>
          <w:p w14:paraId="4981D502" w14:textId="77777777" w:rsidR="00416346" w:rsidRPr="00EF2937" w:rsidRDefault="00416346" w:rsidP="00134D0C">
            <w:pPr>
              <w:jc w:val="center"/>
              <w:rPr>
                <w:rFonts w:ascii="Century Gothic" w:hAnsi="Century Gothic" w:cs="Arial"/>
                <w:b/>
                <w:bCs/>
                <w:sz w:val="22"/>
                <w:szCs w:val="22"/>
              </w:rPr>
            </w:pPr>
          </w:p>
          <w:p w14:paraId="0F675175" w14:textId="44530D48" w:rsidR="00134D0C" w:rsidRPr="00EF2937" w:rsidRDefault="00134D0C" w:rsidP="00134D0C">
            <w:pPr>
              <w:jc w:val="center"/>
              <w:rPr>
                <w:rFonts w:ascii="Century Gothic" w:hAnsi="Century Gothic" w:cs="Arial"/>
                <w:b/>
                <w:bCs/>
                <w:color w:val="FF0000"/>
                <w:sz w:val="22"/>
                <w:szCs w:val="22"/>
              </w:rPr>
            </w:pPr>
          </w:p>
        </w:tc>
      </w:tr>
      <w:tr w:rsidR="00C30A15" w:rsidRPr="00EF2937" w14:paraId="49620430" w14:textId="77777777" w:rsidTr="00EF2937">
        <w:trPr>
          <w:trHeight w:val="795"/>
        </w:trPr>
        <w:tc>
          <w:tcPr>
            <w:tcW w:w="1509" w:type="dxa"/>
            <w:tcBorders>
              <w:top w:val="nil"/>
              <w:left w:val="single" w:sz="4" w:space="0" w:color="auto"/>
              <w:bottom w:val="single" w:sz="4" w:space="0" w:color="auto"/>
              <w:right w:val="single" w:sz="4" w:space="0" w:color="auto"/>
            </w:tcBorders>
            <w:shd w:val="clear" w:color="000000" w:fill="BDD7EE"/>
            <w:hideMark/>
          </w:tcPr>
          <w:p w14:paraId="5E50C92E" w14:textId="427D2C6A" w:rsidR="00C30A15" w:rsidRPr="00EF2937" w:rsidRDefault="00134D0C" w:rsidP="00C30A15">
            <w:pPr>
              <w:jc w:val="center"/>
              <w:rPr>
                <w:rFonts w:ascii="Century Gothic" w:hAnsi="Century Gothic" w:cs="Calibri"/>
                <w:b/>
                <w:bCs/>
                <w:sz w:val="22"/>
                <w:szCs w:val="22"/>
              </w:rPr>
            </w:pPr>
            <w:r w:rsidRPr="00EF2937">
              <w:rPr>
                <w:rFonts w:ascii="Century Gothic" w:hAnsi="Century Gothic" w:cs="Calibri"/>
                <w:b/>
                <w:bCs/>
                <w:sz w:val="22"/>
                <w:szCs w:val="22"/>
              </w:rPr>
              <w:t>BSA</w:t>
            </w:r>
          </w:p>
          <w:p w14:paraId="4F9115DA" w14:textId="7D2A5427" w:rsidR="00C30A15" w:rsidRPr="00EF2937" w:rsidRDefault="00C30A15" w:rsidP="00C30A15">
            <w:pPr>
              <w:jc w:val="center"/>
              <w:rPr>
                <w:rFonts w:ascii="Century Gothic" w:hAnsi="Century Gothic" w:cs="Calibri"/>
                <w:b/>
                <w:bCs/>
                <w:sz w:val="22"/>
                <w:szCs w:val="22"/>
              </w:rPr>
            </w:pPr>
            <w:r w:rsidRPr="00EF2937">
              <w:rPr>
                <w:rFonts w:ascii="Century Gothic" w:hAnsi="Century Gothic" w:cs="Calibri"/>
                <w:b/>
                <w:bCs/>
                <w:sz w:val="22"/>
                <w:szCs w:val="22"/>
              </w:rPr>
              <w:t>S</w:t>
            </w:r>
            <w:r w:rsidR="00134D0C" w:rsidRPr="00EF2937">
              <w:rPr>
                <w:rFonts w:ascii="Century Gothic" w:hAnsi="Century Gothic" w:cs="Calibri"/>
                <w:b/>
                <w:bCs/>
                <w:sz w:val="22"/>
                <w:szCs w:val="22"/>
              </w:rPr>
              <w:t>ection</w:t>
            </w:r>
          </w:p>
          <w:p w14:paraId="40B02D49" w14:textId="2FEA6E2A" w:rsidR="00134D0C" w:rsidRPr="00EF2937" w:rsidRDefault="00134D0C" w:rsidP="00C30A15">
            <w:pPr>
              <w:jc w:val="center"/>
              <w:rPr>
                <w:rFonts w:ascii="Century Gothic" w:hAnsi="Century Gothic" w:cs="Calibri"/>
                <w:b/>
                <w:bCs/>
                <w:sz w:val="22"/>
                <w:szCs w:val="22"/>
              </w:rPr>
            </w:pPr>
            <w:r w:rsidRPr="00EF2937">
              <w:rPr>
                <w:rFonts w:ascii="Century Gothic" w:hAnsi="Century Gothic" w:cs="Calibri"/>
                <w:b/>
                <w:bCs/>
                <w:sz w:val="22"/>
                <w:szCs w:val="22"/>
              </w:rPr>
              <w:t>code</w:t>
            </w:r>
          </w:p>
        </w:tc>
        <w:tc>
          <w:tcPr>
            <w:tcW w:w="1468" w:type="dxa"/>
            <w:tcBorders>
              <w:top w:val="nil"/>
              <w:left w:val="nil"/>
              <w:bottom w:val="single" w:sz="4" w:space="0" w:color="auto"/>
              <w:right w:val="single" w:sz="4" w:space="0" w:color="auto"/>
            </w:tcBorders>
            <w:shd w:val="clear" w:color="000000" w:fill="BDD7EE"/>
            <w:hideMark/>
          </w:tcPr>
          <w:p w14:paraId="08E23CBC" w14:textId="77777777" w:rsidR="00C30A15" w:rsidRPr="00EF2937" w:rsidRDefault="00134D0C" w:rsidP="00C30A15">
            <w:pPr>
              <w:jc w:val="center"/>
              <w:rPr>
                <w:rFonts w:ascii="Century Gothic" w:hAnsi="Century Gothic" w:cs="Calibri"/>
                <w:b/>
                <w:bCs/>
                <w:sz w:val="22"/>
                <w:szCs w:val="22"/>
              </w:rPr>
            </w:pPr>
            <w:r w:rsidRPr="00EF2937">
              <w:rPr>
                <w:rFonts w:ascii="Century Gothic" w:hAnsi="Century Gothic" w:cs="Calibri"/>
                <w:b/>
                <w:bCs/>
                <w:sz w:val="22"/>
                <w:szCs w:val="22"/>
              </w:rPr>
              <w:t>Line/</w:t>
            </w:r>
          </w:p>
          <w:p w14:paraId="41C624DB" w14:textId="71A959AD" w:rsidR="00134D0C" w:rsidRPr="00EF2937" w:rsidRDefault="00134D0C" w:rsidP="00C30A15">
            <w:pPr>
              <w:jc w:val="center"/>
              <w:rPr>
                <w:rFonts w:ascii="Century Gothic" w:hAnsi="Century Gothic" w:cs="Calibri"/>
                <w:b/>
                <w:bCs/>
                <w:sz w:val="22"/>
                <w:szCs w:val="22"/>
              </w:rPr>
            </w:pPr>
            <w:r w:rsidRPr="00EF2937">
              <w:rPr>
                <w:rFonts w:ascii="Century Gothic" w:hAnsi="Century Gothic" w:cs="Calibri"/>
                <w:b/>
                <w:bCs/>
                <w:sz w:val="22"/>
                <w:szCs w:val="22"/>
              </w:rPr>
              <w:t>section</w:t>
            </w:r>
          </w:p>
        </w:tc>
        <w:tc>
          <w:tcPr>
            <w:tcW w:w="2324" w:type="dxa"/>
            <w:tcBorders>
              <w:top w:val="nil"/>
              <w:left w:val="nil"/>
              <w:bottom w:val="single" w:sz="4" w:space="0" w:color="auto"/>
              <w:right w:val="single" w:sz="4" w:space="0" w:color="auto"/>
            </w:tcBorders>
            <w:shd w:val="clear" w:color="000000" w:fill="BDD7EE"/>
            <w:noWrap/>
            <w:hideMark/>
          </w:tcPr>
          <w:p w14:paraId="6980CF81" w14:textId="77777777" w:rsidR="00134D0C" w:rsidRPr="00EF2937" w:rsidRDefault="00134D0C" w:rsidP="00C30A15">
            <w:pPr>
              <w:jc w:val="center"/>
              <w:rPr>
                <w:rFonts w:ascii="Century Gothic" w:hAnsi="Century Gothic" w:cs="Calibri"/>
                <w:b/>
                <w:bCs/>
                <w:sz w:val="22"/>
                <w:szCs w:val="22"/>
              </w:rPr>
            </w:pPr>
            <w:r w:rsidRPr="00EF2937">
              <w:rPr>
                <w:rFonts w:ascii="Century Gothic" w:hAnsi="Century Gothic" w:cs="Calibri"/>
                <w:b/>
                <w:bCs/>
                <w:sz w:val="22"/>
                <w:szCs w:val="22"/>
              </w:rPr>
              <w:t>Text</w:t>
            </w:r>
          </w:p>
        </w:tc>
        <w:tc>
          <w:tcPr>
            <w:tcW w:w="4622" w:type="dxa"/>
            <w:tcBorders>
              <w:top w:val="nil"/>
              <w:left w:val="nil"/>
              <w:bottom w:val="single" w:sz="4" w:space="0" w:color="auto"/>
              <w:right w:val="single" w:sz="4" w:space="0" w:color="auto"/>
            </w:tcBorders>
            <w:shd w:val="clear" w:color="000000" w:fill="BDD7EE"/>
            <w:noWrap/>
            <w:hideMark/>
          </w:tcPr>
          <w:p w14:paraId="0DA581ED" w14:textId="77777777" w:rsidR="00134D0C" w:rsidRPr="00EF2937" w:rsidRDefault="00134D0C" w:rsidP="00C30A15">
            <w:pPr>
              <w:jc w:val="center"/>
              <w:rPr>
                <w:rFonts w:ascii="Century Gothic" w:hAnsi="Century Gothic" w:cs="Calibri"/>
                <w:b/>
                <w:bCs/>
                <w:sz w:val="22"/>
                <w:szCs w:val="22"/>
              </w:rPr>
            </w:pPr>
            <w:r w:rsidRPr="00EF2937">
              <w:rPr>
                <w:rFonts w:ascii="Century Gothic" w:hAnsi="Century Gothic" w:cs="Calibri"/>
                <w:b/>
                <w:bCs/>
                <w:sz w:val="22"/>
                <w:szCs w:val="22"/>
              </w:rPr>
              <w:t>Respondents' comments</w:t>
            </w:r>
          </w:p>
        </w:tc>
        <w:tc>
          <w:tcPr>
            <w:tcW w:w="4252" w:type="dxa"/>
            <w:tcBorders>
              <w:top w:val="nil"/>
              <w:left w:val="nil"/>
              <w:bottom w:val="single" w:sz="4" w:space="0" w:color="auto"/>
              <w:right w:val="single" w:sz="4" w:space="0" w:color="auto"/>
            </w:tcBorders>
            <w:shd w:val="clear" w:color="000000" w:fill="BDD7EE"/>
            <w:noWrap/>
            <w:hideMark/>
          </w:tcPr>
          <w:p w14:paraId="21761074" w14:textId="77777777" w:rsidR="00134D0C" w:rsidRPr="00EF2937" w:rsidRDefault="00134D0C" w:rsidP="00C30A15">
            <w:pPr>
              <w:jc w:val="center"/>
              <w:rPr>
                <w:rFonts w:ascii="Century Gothic" w:hAnsi="Century Gothic" w:cs="Calibri"/>
                <w:b/>
                <w:bCs/>
                <w:sz w:val="22"/>
                <w:szCs w:val="22"/>
              </w:rPr>
            </w:pPr>
            <w:r w:rsidRPr="00EF2937">
              <w:rPr>
                <w:rFonts w:ascii="Century Gothic" w:hAnsi="Century Gothic" w:cs="Calibri"/>
                <w:b/>
                <w:bCs/>
                <w:sz w:val="22"/>
                <w:szCs w:val="22"/>
              </w:rPr>
              <w:t>Suggested re-wording</w:t>
            </w:r>
          </w:p>
        </w:tc>
      </w:tr>
      <w:tr w:rsidR="00C30A15" w:rsidRPr="00EF2937" w14:paraId="4CB2A367"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3FE4C6F5" w14:textId="2518D7AD" w:rsidR="00F12E1C" w:rsidRPr="00EF2937" w:rsidRDefault="009004C4" w:rsidP="00E25642">
            <w:pPr>
              <w:rPr>
                <w:rFonts w:ascii="Century Gothic" w:hAnsi="Century Gothic" w:cs="Calibri"/>
                <w:sz w:val="22"/>
                <w:szCs w:val="22"/>
              </w:rPr>
            </w:pPr>
            <w:r w:rsidRPr="00EF2937">
              <w:rPr>
                <w:rFonts w:ascii="Century Gothic" w:hAnsi="Century Gothic" w:cs="Calibri"/>
                <w:sz w:val="22"/>
                <w:szCs w:val="22"/>
              </w:rPr>
              <w:t>All</w:t>
            </w:r>
          </w:p>
        </w:tc>
        <w:tc>
          <w:tcPr>
            <w:tcW w:w="1468" w:type="dxa"/>
            <w:tcBorders>
              <w:top w:val="nil"/>
              <w:left w:val="nil"/>
              <w:bottom w:val="single" w:sz="4" w:space="0" w:color="auto"/>
              <w:right w:val="single" w:sz="4" w:space="0" w:color="auto"/>
            </w:tcBorders>
            <w:shd w:val="clear" w:color="auto" w:fill="auto"/>
            <w:noWrap/>
          </w:tcPr>
          <w:p w14:paraId="46B16930" w14:textId="46C0B283" w:rsidR="00F12E1C" w:rsidRPr="00EF2937" w:rsidRDefault="009004C4" w:rsidP="00E25642">
            <w:pPr>
              <w:rPr>
                <w:rFonts w:ascii="Century Gothic" w:hAnsi="Century Gothic" w:cs="Calibri"/>
                <w:sz w:val="22"/>
                <w:szCs w:val="22"/>
              </w:rPr>
            </w:pPr>
            <w:r w:rsidRPr="00EF2937">
              <w:rPr>
                <w:rFonts w:ascii="Century Gothic" w:hAnsi="Century Gothic" w:cs="Calibri"/>
                <w:sz w:val="22"/>
                <w:szCs w:val="22"/>
              </w:rPr>
              <w:t>All</w:t>
            </w:r>
          </w:p>
        </w:tc>
        <w:tc>
          <w:tcPr>
            <w:tcW w:w="2324" w:type="dxa"/>
            <w:tcBorders>
              <w:top w:val="nil"/>
              <w:left w:val="nil"/>
              <w:bottom w:val="single" w:sz="4" w:space="0" w:color="auto"/>
              <w:right w:val="single" w:sz="4" w:space="0" w:color="auto"/>
            </w:tcBorders>
            <w:shd w:val="clear" w:color="auto" w:fill="auto"/>
          </w:tcPr>
          <w:p w14:paraId="1F1D3B85" w14:textId="5FF9FD88" w:rsidR="00F12E1C" w:rsidRPr="00EF2937" w:rsidRDefault="009004C4" w:rsidP="00E25642">
            <w:pPr>
              <w:rPr>
                <w:rFonts w:ascii="Century Gothic" w:hAnsi="Century Gothic" w:cs="Calibri"/>
                <w:sz w:val="22"/>
                <w:szCs w:val="22"/>
              </w:rPr>
            </w:pPr>
            <w:r w:rsidRPr="00EF2937">
              <w:rPr>
                <w:rFonts w:ascii="Century Gothic" w:hAnsi="Century Gothic" w:cs="Calibri"/>
                <w:sz w:val="22"/>
                <w:szCs w:val="22"/>
              </w:rPr>
              <w:t>General feedback</w:t>
            </w:r>
          </w:p>
        </w:tc>
        <w:tc>
          <w:tcPr>
            <w:tcW w:w="4622" w:type="dxa"/>
            <w:tcBorders>
              <w:top w:val="nil"/>
              <w:left w:val="nil"/>
              <w:bottom w:val="single" w:sz="4" w:space="0" w:color="auto"/>
              <w:right w:val="single" w:sz="4" w:space="0" w:color="auto"/>
            </w:tcBorders>
            <w:shd w:val="clear" w:color="auto" w:fill="auto"/>
          </w:tcPr>
          <w:p w14:paraId="576EF63A" w14:textId="6FDC3791" w:rsidR="00DF1B62" w:rsidRPr="00EF2937" w:rsidRDefault="00546546" w:rsidP="00E25642">
            <w:pPr>
              <w:rPr>
                <w:rFonts w:ascii="Century Gothic" w:hAnsi="Century Gothic" w:cs="Calibri"/>
                <w:sz w:val="22"/>
                <w:szCs w:val="22"/>
              </w:rPr>
            </w:pPr>
            <w:r w:rsidRPr="00EF2937">
              <w:rPr>
                <w:rFonts w:ascii="Century Gothic" w:hAnsi="Century Gothic" w:cs="Calibri"/>
                <w:sz w:val="22"/>
                <w:szCs w:val="22"/>
              </w:rPr>
              <w:t>The document is very comprehensive</w:t>
            </w:r>
            <w:r w:rsidR="00352598" w:rsidRPr="00EF2937">
              <w:rPr>
                <w:rFonts w:ascii="Century Gothic" w:hAnsi="Century Gothic" w:cs="Calibri"/>
                <w:sz w:val="22"/>
                <w:szCs w:val="22"/>
              </w:rPr>
              <w:t xml:space="preserve"> (</w:t>
            </w:r>
            <w:r w:rsidR="00266F47" w:rsidRPr="00EF2937">
              <w:rPr>
                <w:rFonts w:ascii="Century Gothic" w:hAnsi="Century Gothic" w:cs="Calibri"/>
                <w:sz w:val="22"/>
                <w:szCs w:val="22"/>
              </w:rPr>
              <w:t>both</w:t>
            </w:r>
            <w:r w:rsidRPr="00EF2937">
              <w:rPr>
                <w:rFonts w:ascii="Century Gothic" w:hAnsi="Century Gothic" w:cs="Calibri"/>
                <w:sz w:val="22"/>
                <w:szCs w:val="22"/>
              </w:rPr>
              <w:t xml:space="preserve"> in its depth and </w:t>
            </w:r>
            <w:r w:rsidR="00266F47" w:rsidRPr="00EF2937">
              <w:rPr>
                <w:rFonts w:ascii="Century Gothic" w:hAnsi="Century Gothic" w:cs="Calibri"/>
                <w:sz w:val="22"/>
                <w:szCs w:val="22"/>
              </w:rPr>
              <w:t>breadth</w:t>
            </w:r>
            <w:r w:rsidR="00352598" w:rsidRPr="00EF2937">
              <w:rPr>
                <w:rFonts w:ascii="Century Gothic" w:hAnsi="Century Gothic" w:cs="Calibri"/>
                <w:sz w:val="22"/>
                <w:szCs w:val="22"/>
              </w:rPr>
              <w:t>)</w:t>
            </w:r>
            <w:r w:rsidR="00266F47" w:rsidRPr="00EF2937">
              <w:rPr>
                <w:rFonts w:ascii="Century Gothic" w:hAnsi="Century Gothic" w:cs="Calibri"/>
                <w:sz w:val="22"/>
                <w:szCs w:val="22"/>
              </w:rPr>
              <w:t xml:space="preserve">. </w:t>
            </w:r>
            <w:r w:rsidR="00352598" w:rsidRPr="00EF2937">
              <w:rPr>
                <w:rFonts w:ascii="Century Gothic" w:hAnsi="Century Gothic" w:cs="Calibri"/>
                <w:sz w:val="22"/>
                <w:szCs w:val="22"/>
              </w:rPr>
              <w:t xml:space="preserve">It is also clear that </w:t>
            </w:r>
            <w:r w:rsidR="00BC43F6">
              <w:rPr>
                <w:rFonts w:ascii="Century Gothic" w:hAnsi="Century Gothic" w:cs="Calibri"/>
                <w:sz w:val="22"/>
                <w:szCs w:val="22"/>
              </w:rPr>
              <w:t>it</w:t>
            </w:r>
            <w:r w:rsidR="00352598" w:rsidRPr="00EF2937">
              <w:rPr>
                <w:rFonts w:ascii="Century Gothic" w:hAnsi="Century Gothic" w:cs="Calibri"/>
                <w:sz w:val="22"/>
                <w:szCs w:val="22"/>
              </w:rPr>
              <w:t xml:space="preserve"> has been written by experts in their field. </w:t>
            </w:r>
          </w:p>
          <w:p w14:paraId="43F65961" w14:textId="77777777" w:rsidR="00DF1B62" w:rsidRPr="00EF2937" w:rsidRDefault="00DF1B62" w:rsidP="00E25642">
            <w:pPr>
              <w:rPr>
                <w:rFonts w:ascii="Century Gothic" w:hAnsi="Century Gothic" w:cs="Calibri"/>
                <w:sz w:val="22"/>
                <w:szCs w:val="22"/>
              </w:rPr>
            </w:pPr>
          </w:p>
          <w:p w14:paraId="4249406C" w14:textId="757F0B42" w:rsidR="005E3B7A" w:rsidRPr="00EF2937" w:rsidRDefault="00352598" w:rsidP="00E25642">
            <w:pPr>
              <w:rPr>
                <w:rFonts w:ascii="Century Gothic" w:hAnsi="Century Gothic" w:cs="Calibri"/>
                <w:sz w:val="22"/>
                <w:szCs w:val="22"/>
              </w:rPr>
            </w:pPr>
            <w:r w:rsidRPr="00EF2937">
              <w:rPr>
                <w:rFonts w:ascii="Century Gothic" w:hAnsi="Century Gothic" w:cs="Calibri"/>
                <w:sz w:val="22"/>
                <w:szCs w:val="22"/>
              </w:rPr>
              <w:t xml:space="preserve">The target audience </w:t>
            </w:r>
            <w:r w:rsidR="00BC43F6">
              <w:rPr>
                <w:rFonts w:ascii="Century Gothic" w:hAnsi="Century Gothic" w:cs="Calibri"/>
                <w:sz w:val="22"/>
                <w:szCs w:val="22"/>
              </w:rPr>
              <w:t xml:space="preserve">however </w:t>
            </w:r>
            <w:r w:rsidRPr="00EF2937">
              <w:rPr>
                <w:rFonts w:ascii="Century Gothic" w:hAnsi="Century Gothic" w:cs="Calibri"/>
                <w:sz w:val="22"/>
                <w:szCs w:val="22"/>
              </w:rPr>
              <w:t xml:space="preserve">is less </w:t>
            </w:r>
            <w:r w:rsidR="00BC43F6" w:rsidRPr="00EF2937">
              <w:rPr>
                <w:rFonts w:ascii="Century Gothic" w:hAnsi="Century Gothic" w:cs="Calibri"/>
                <w:sz w:val="22"/>
                <w:szCs w:val="22"/>
              </w:rPr>
              <w:t>clear,</w:t>
            </w:r>
            <w:r w:rsidR="0027579D" w:rsidRPr="00EF2937">
              <w:rPr>
                <w:rFonts w:ascii="Century Gothic" w:hAnsi="Century Gothic" w:cs="Calibri"/>
                <w:sz w:val="22"/>
                <w:szCs w:val="22"/>
              </w:rPr>
              <w:t xml:space="preserve"> and </w:t>
            </w:r>
            <w:r w:rsidRPr="00EF2937">
              <w:rPr>
                <w:rFonts w:ascii="Century Gothic" w:hAnsi="Century Gothic" w:cs="Calibri"/>
                <w:sz w:val="22"/>
                <w:szCs w:val="22"/>
              </w:rPr>
              <w:t xml:space="preserve">it appears to be written for several </w:t>
            </w:r>
            <w:r w:rsidR="0027579D" w:rsidRPr="00EF2937">
              <w:rPr>
                <w:rFonts w:ascii="Century Gothic" w:hAnsi="Century Gothic" w:cs="Calibri"/>
                <w:sz w:val="22"/>
                <w:szCs w:val="22"/>
              </w:rPr>
              <w:t xml:space="preserve">different </w:t>
            </w:r>
            <w:r w:rsidRPr="00EF2937">
              <w:rPr>
                <w:rFonts w:ascii="Century Gothic" w:hAnsi="Century Gothic" w:cs="Calibri"/>
                <w:sz w:val="22"/>
                <w:szCs w:val="22"/>
              </w:rPr>
              <w:t>audiences including researchers</w:t>
            </w:r>
            <w:r w:rsidR="005E3B7A" w:rsidRPr="00EF2937">
              <w:rPr>
                <w:rFonts w:ascii="Century Gothic" w:hAnsi="Century Gothic" w:cs="Calibri"/>
                <w:sz w:val="22"/>
                <w:szCs w:val="22"/>
              </w:rPr>
              <w:t>, various</w:t>
            </w:r>
            <w:r w:rsidRPr="00EF2937">
              <w:rPr>
                <w:rFonts w:ascii="Century Gothic" w:hAnsi="Century Gothic" w:cs="Calibri"/>
                <w:sz w:val="22"/>
                <w:szCs w:val="22"/>
              </w:rPr>
              <w:t xml:space="preserve"> clinicians</w:t>
            </w:r>
            <w:r w:rsidR="005E3B7A" w:rsidRPr="00EF2937">
              <w:rPr>
                <w:rFonts w:ascii="Century Gothic" w:hAnsi="Century Gothic" w:cs="Calibri"/>
                <w:sz w:val="22"/>
                <w:szCs w:val="22"/>
              </w:rPr>
              <w:t xml:space="preserve"> and perhaps also policymakers</w:t>
            </w:r>
            <w:r w:rsidR="0027579D" w:rsidRPr="00EF2937">
              <w:rPr>
                <w:rFonts w:ascii="Century Gothic" w:hAnsi="Century Gothic" w:cs="Calibri"/>
                <w:sz w:val="22"/>
                <w:szCs w:val="22"/>
              </w:rPr>
              <w:t xml:space="preserve"> – e.g. </w:t>
            </w:r>
            <w:r w:rsidR="005E3B7A" w:rsidRPr="00EF2937">
              <w:rPr>
                <w:rFonts w:ascii="Century Gothic" w:hAnsi="Century Gothic" w:cs="Calibri"/>
                <w:sz w:val="22"/>
                <w:szCs w:val="22"/>
              </w:rPr>
              <w:t xml:space="preserve">guidance for </w:t>
            </w:r>
            <w:r w:rsidR="005E3B7A" w:rsidRPr="00EF2937">
              <w:rPr>
                <w:rFonts w:ascii="Century Gothic" w:hAnsi="Century Gothic" w:cs="Calibri"/>
                <w:sz w:val="22"/>
                <w:szCs w:val="22"/>
              </w:rPr>
              <w:t xml:space="preserve">GPs </w:t>
            </w:r>
            <w:r w:rsidR="005E3B7A" w:rsidRPr="00EF2937">
              <w:rPr>
                <w:rFonts w:ascii="Century Gothic" w:hAnsi="Century Gothic" w:cs="Calibri"/>
                <w:sz w:val="22"/>
                <w:szCs w:val="22"/>
              </w:rPr>
              <w:t>(lines 313-318, 341-358) and policy/commissioning leads (lines 1309-1320).</w:t>
            </w:r>
          </w:p>
          <w:p w14:paraId="222B614B" w14:textId="77777777" w:rsidR="005E3B7A" w:rsidRPr="00EF2937" w:rsidRDefault="005E3B7A" w:rsidP="00E25642">
            <w:pPr>
              <w:rPr>
                <w:rFonts w:ascii="Century Gothic" w:hAnsi="Century Gothic" w:cs="Calibri"/>
                <w:sz w:val="22"/>
                <w:szCs w:val="22"/>
              </w:rPr>
            </w:pPr>
          </w:p>
          <w:p w14:paraId="1FE5DF7D" w14:textId="0F393ED0" w:rsidR="005E3B7A" w:rsidRPr="00EF2937" w:rsidRDefault="00352598" w:rsidP="00E25642">
            <w:pPr>
              <w:rPr>
                <w:rFonts w:ascii="Century Gothic" w:hAnsi="Century Gothic" w:cs="Calibri"/>
                <w:sz w:val="22"/>
                <w:szCs w:val="22"/>
              </w:rPr>
            </w:pPr>
            <w:r w:rsidRPr="00EF2937">
              <w:rPr>
                <w:rFonts w:ascii="Century Gothic" w:hAnsi="Century Gothic" w:cs="Calibri"/>
                <w:sz w:val="22"/>
                <w:szCs w:val="22"/>
              </w:rPr>
              <w:t xml:space="preserve">This can make it difficult to navigate at a practical level – e.g. lines 403-573 (pages 13 to 17) provide a detailed review of questionnaires which </w:t>
            </w:r>
            <w:r w:rsidR="005E3B7A" w:rsidRPr="00EF2937">
              <w:rPr>
                <w:rFonts w:ascii="Century Gothic" w:hAnsi="Century Gothic" w:cs="Calibri"/>
                <w:sz w:val="22"/>
                <w:szCs w:val="22"/>
              </w:rPr>
              <w:t>will</w:t>
            </w:r>
            <w:r w:rsidRPr="00EF2937">
              <w:rPr>
                <w:rFonts w:ascii="Century Gothic" w:hAnsi="Century Gothic" w:cs="Calibri"/>
                <w:sz w:val="22"/>
                <w:szCs w:val="22"/>
              </w:rPr>
              <w:t xml:space="preserve"> be very helpful for researchers</w:t>
            </w:r>
            <w:r w:rsidR="00F30B29" w:rsidRPr="00EF2937">
              <w:rPr>
                <w:rFonts w:ascii="Century Gothic" w:hAnsi="Century Gothic" w:cs="Calibri"/>
                <w:sz w:val="22"/>
                <w:szCs w:val="22"/>
              </w:rPr>
              <w:t xml:space="preserve">, whereas </w:t>
            </w:r>
            <w:r w:rsidRPr="00EF2937">
              <w:rPr>
                <w:rFonts w:ascii="Century Gothic" w:hAnsi="Century Gothic" w:cs="Calibri"/>
                <w:sz w:val="22"/>
                <w:szCs w:val="22"/>
              </w:rPr>
              <w:t>clinicians are likely to benefit more</w:t>
            </w:r>
            <w:r w:rsidR="000E7660" w:rsidRPr="00EF2937">
              <w:rPr>
                <w:rFonts w:ascii="Century Gothic" w:hAnsi="Century Gothic" w:cs="Calibri"/>
                <w:sz w:val="22"/>
                <w:szCs w:val="22"/>
              </w:rPr>
              <w:t xml:space="preserve"> </w:t>
            </w:r>
            <w:r w:rsidRPr="00EF2937">
              <w:rPr>
                <w:rFonts w:ascii="Century Gothic" w:hAnsi="Century Gothic" w:cs="Calibri"/>
                <w:sz w:val="22"/>
                <w:szCs w:val="22"/>
              </w:rPr>
              <w:t>from lines 1251-1263 (pages 33-34) as this</w:t>
            </w:r>
            <w:r w:rsidR="00F30B29" w:rsidRPr="00EF2937">
              <w:rPr>
                <w:rFonts w:ascii="Century Gothic" w:hAnsi="Century Gothic" w:cs="Calibri"/>
                <w:sz w:val="22"/>
                <w:szCs w:val="22"/>
              </w:rPr>
              <w:t xml:space="preserve"> puts the use of questionnaires in a meaningful context and makes a clear recommendation (line 1263).</w:t>
            </w:r>
            <w:r w:rsidR="00D73CF5" w:rsidRPr="00EF2937">
              <w:rPr>
                <w:rFonts w:ascii="Century Gothic" w:hAnsi="Century Gothic" w:cs="Calibri"/>
                <w:sz w:val="22"/>
                <w:szCs w:val="22"/>
              </w:rPr>
              <w:t xml:space="preserve"> </w:t>
            </w:r>
          </w:p>
          <w:p w14:paraId="08F79291" w14:textId="1CBE880A" w:rsidR="00D73CF5" w:rsidRPr="00EF2937" w:rsidRDefault="00D73CF5" w:rsidP="00E25642">
            <w:pPr>
              <w:rPr>
                <w:rFonts w:ascii="Century Gothic" w:hAnsi="Century Gothic" w:cs="Calibri"/>
                <w:sz w:val="22"/>
                <w:szCs w:val="22"/>
              </w:rPr>
            </w:pPr>
          </w:p>
          <w:p w14:paraId="5475A66C" w14:textId="3F00A1D1" w:rsidR="00D73CF5" w:rsidRPr="00EF2937" w:rsidRDefault="00D73CF5" w:rsidP="00E25642">
            <w:pPr>
              <w:rPr>
                <w:rFonts w:ascii="Century Gothic" w:hAnsi="Century Gothic" w:cs="Calibri"/>
                <w:sz w:val="22"/>
                <w:szCs w:val="22"/>
              </w:rPr>
            </w:pPr>
            <w:r w:rsidRPr="00EF2937">
              <w:rPr>
                <w:rFonts w:ascii="Century Gothic" w:hAnsi="Century Gothic" w:cs="Calibri"/>
                <w:sz w:val="22"/>
                <w:szCs w:val="22"/>
              </w:rPr>
              <w:t xml:space="preserve">One potential solution </w:t>
            </w:r>
            <w:r w:rsidR="0027579D" w:rsidRPr="00EF2937">
              <w:rPr>
                <w:rFonts w:ascii="Century Gothic" w:hAnsi="Century Gothic" w:cs="Calibri"/>
                <w:sz w:val="22"/>
                <w:szCs w:val="22"/>
              </w:rPr>
              <w:t xml:space="preserve">to this </w:t>
            </w:r>
            <w:r w:rsidRPr="00EF2937">
              <w:rPr>
                <w:rFonts w:ascii="Century Gothic" w:hAnsi="Century Gothic" w:cs="Calibri"/>
                <w:sz w:val="22"/>
                <w:szCs w:val="22"/>
              </w:rPr>
              <w:t xml:space="preserve">might be to split the very useful guidance into different sections so that each target </w:t>
            </w:r>
            <w:r w:rsidRPr="00EF2937">
              <w:rPr>
                <w:rFonts w:ascii="Century Gothic" w:hAnsi="Century Gothic" w:cs="Calibri"/>
                <w:sz w:val="22"/>
                <w:szCs w:val="22"/>
              </w:rPr>
              <w:lastRenderedPageBreak/>
              <w:t xml:space="preserve">audience can benefit from this </w:t>
            </w:r>
            <w:r w:rsidR="0027579D" w:rsidRPr="00EF2937">
              <w:rPr>
                <w:rFonts w:ascii="Century Gothic" w:hAnsi="Century Gothic" w:cs="Calibri"/>
                <w:sz w:val="22"/>
                <w:szCs w:val="22"/>
              </w:rPr>
              <w:t>extensive guidance/</w:t>
            </w:r>
            <w:r w:rsidRPr="00EF2937">
              <w:rPr>
                <w:rFonts w:ascii="Century Gothic" w:hAnsi="Century Gothic" w:cs="Calibri"/>
                <w:sz w:val="22"/>
                <w:szCs w:val="22"/>
              </w:rPr>
              <w:t>work.</w:t>
            </w:r>
          </w:p>
          <w:p w14:paraId="3F811211" w14:textId="1A2E7F12" w:rsidR="00210BB9" w:rsidRPr="00EF2937" w:rsidRDefault="00210BB9" w:rsidP="00E25642">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559EEB38" w14:textId="06F37410" w:rsidR="00F12E1C" w:rsidRPr="00EF2937" w:rsidRDefault="00546546" w:rsidP="00E25642">
            <w:pPr>
              <w:rPr>
                <w:rFonts w:ascii="Century Gothic" w:hAnsi="Century Gothic" w:cs="Calibri"/>
                <w:color w:val="000000"/>
                <w:sz w:val="22"/>
                <w:szCs w:val="22"/>
              </w:rPr>
            </w:pPr>
            <w:r w:rsidRPr="00EF2937">
              <w:rPr>
                <w:rFonts w:ascii="Century Gothic" w:hAnsi="Century Gothic" w:cs="Calibri"/>
                <w:color w:val="000000"/>
                <w:sz w:val="22"/>
                <w:szCs w:val="22"/>
              </w:rPr>
              <w:lastRenderedPageBreak/>
              <w:t xml:space="preserve">Consider redrafting </w:t>
            </w:r>
            <w:r w:rsidR="00D73CF5" w:rsidRPr="00EF2937">
              <w:rPr>
                <w:rFonts w:ascii="Century Gothic" w:hAnsi="Century Gothic" w:cs="Calibri"/>
                <w:color w:val="000000"/>
                <w:sz w:val="22"/>
                <w:szCs w:val="22"/>
              </w:rPr>
              <w:t xml:space="preserve">the </w:t>
            </w:r>
            <w:r w:rsidRPr="00EF2937">
              <w:rPr>
                <w:rFonts w:ascii="Century Gothic" w:hAnsi="Century Gothic" w:cs="Calibri"/>
                <w:color w:val="000000"/>
                <w:sz w:val="22"/>
                <w:szCs w:val="22"/>
              </w:rPr>
              <w:t>guidance</w:t>
            </w:r>
            <w:r w:rsidR="00F30B29" w:rsidRPr="00EF2937">
              <w:rPr>
                <w:rFonts w:ascii="Century Gothic" w:hAnsi="Century Gothic" w:cs="Calibri"/>
                <w:color w:val="000000"/>
                <w:sz w:val="22"/>
                <w:szCs w:val="22"/>
              </w:rPr>
              <w:t xml:space="preserve"> so that </w:t>
            </w:r>
            <w:r w:rsidR="00D73CF5" w:rsidRPr="00EF2937">
              <w:rPr>
                <w:rFonts w:ascii="Century Gothic" w:hAnsi="Century Gothic" w:cs="Calibri"/>
                <w:color w:val="000000"/>
                <w:sz w:val="22"/>
                <w:szCs w:val="22"/>
              </w:rPr>
              <w:t>it</w:t>
            </w:r>
            <w:r w:rsidR="00982964" w:rsidRPr="00EF2937">
              <w:rPr>
                <w:rFonts w:ascii="Century Gothic" w:hAnsi="Century Gothic" w:cs="Calibri"/>
                <w:color w:val="000000"/>
                <w:sz w:val="22"/>
                <w:szCs w:val="22"/>
              </w:rPr>
              <w:t xml:space="preserve"> is </w:t>
            </w:r>
            <w:r w:rsidR="00F30B29" w:rsidRPr="00EF2937">
              <w:rPr>
                <w:rFonts w:ascii="Century Gothic" w:hAnsi="Century Gothic" w:cs="Calibri"/>
                <w:color w:val="000000"/>
                <w:sz w:val="22"/>
                <w:szCs w:val="22"/>
              </w:rPr>
              <w:t>easier to disseminate. For</w:t>
            </w:r>
            <w:r w:rsidR="00982964" w:rsidRPr="00EF2937">
              <w:rPr>
                <w:rFonts w:ascii="Century Gothic" w:hAnsi="Century Gothic" w:cs="Calibri"/>
                <w:color w:val="000000"/>
                <w:sz w:val="22"/>
                <w:szCs w:val="22"/>
              </w:rPr>
              <w:t xml:space="preserve"> </w:t>
            </w:r>
            <w:r w:rsidR="00F30B29" w:rsidRPr="00EF2937">
              <w:rPr>
                <w:rFonts w:ascii="Century Gothic" w:hAnsi="Century Gothic" w:cs="Calibri"/>
                <w:color w:val="000000"/>
                <w:sz w:val="22"/>
                <w:szCs w:val="22"/>
              </w:rPr>
              <w:t>example</w:t>
            </w:r>
            <w:r w:rsidR="00982964" w:rsidRPr="00EF2937">
              <w:rPr>
                <w:rFonts w:ascii="Century Gothic" w:hAnsi="Century Gothic" w:cs="Calibri"/>
                <w:color w:val="000000"/>
                <w:sz w:val="22"/>
                <w:szCs w:val="22"/>
              </w:rPr>
              <w:t>, consider</w:t>
            </w:r>
            <w:r w:rsidR="00F30B29" w:rsidRPr="00EF2937">
              <w:rPr>
                <w:rFonts w:ascii="Century Gothic" w:hAnsi="Century Gothic" w:cs="Calibri"/>
                <w:color w:val="000000"/>
                <w:sz w:val="22"/>
                <w:szCs w:val="22"/>
              </w:rPr>
              <w:t xml:space="preserve"> including additional detail and notes in an annex</w:t>
            </w:r>
            <w:r w:rsidR="00982964" w:rsidRPr="00EF2937">
              <w:rPr>
                <w:rFonts w:ascii="Century Gothic" w:hAnsi="Century Gothic" w:cs="Calibri"/>
                <w:color w:val="000000"/>
                <w:sz w:val="22"/>
                <w:szCs w:val="22"/>
              </w:rPr>
              <w:t xml:space="preserve"> rather than in the body of the guidance</w:t>
            </w:r>
            <w:r w:rsidR="00D73CF5" w:rsidRPr="00EF2937">
              <w:rPr>
                <w:rFonts w:ascii="Century Gothic" w:hAnsi="Century Gothic" w:cs="Calibri"/>
                <w:color w:val="000000"/>
                <w:sz w:val="22"/>
                <w:szCs w:val="22"/>
              </w:rPr>
              <w:t xml:space="preserve"> and/</w:t>
            </w:r>
            <w:r w:rsidR="00982964" w:rsidRPr="00EF2937">
              <w:rPr>
                <w:rFonts w:ascii="Century Gothic" w:hAnsi="Century Gothic" w:cs="Calibri"/>
                <w:color w:val="000000"/>
                <w:sz w:val="22"/>
                <w:szCs w:val="22"/>
              </w:rPr>
              <w:t xml:space="preserve">or split </w:t>
            </w:r>
            <w:r w:rsidR="00D73CF5" w:rsidRPr="00EF2937">
              <w:rPr>
                <w:rFonts w:ascii="Century Gothic" w:hAnsi="Century Gothic" w:cs="Calibri"/>
                <w:color w:val="000000"/>
                <w:sz w:val="22"/>
                <w:szCs w:val="22"/>
              </w:rPr>
              <w:t>the guidance according to key target</w:t>
            </w:r>
            <w:r w:rsidR="00982964" w:rsidRPr="00EF2937">
              <w:rPr>
                <w:rFonts w:ascii="Century Gothic" w:hAnsi="Century Gothic" w:cs="Calibri"/>
                <w:color w:val="000000"/>
                <w:sz w:val="22"/>
                <w:szCs w:val="22"/>
              </w:rPr>
              <w:t xml:space="preserve"> audiences. </w:t>
            </w:r>
          </w:p>
        </w:tc>
      </w:tr>
      <w:tr w:rsidR="00C30A15" w:rsidRPr="00EF2937" w14:paraId="0048EEEE"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20B4E815" w14:textId="40096251" w:rsidR="00DD6414" w:rsidRPr="00EF2937" w:rsidRDefault="00DD6414" w:rsidP="00DD6414">
            <w:pPr>
              <w:rPr>
                <w:rFonts w:ascii="Century Gothic" w:hAnsi="Century Gothic" w:cs="Calibri"/>
                <w:sz w:val="22"/>
                <w:szCs w:val="22"/>
              </w:rPr>
            </w:pPr>
            <w:r w:rsidRPr="00EF2937">
              <w:rPr>
                <w:rFonts w:ascii="Century Gothic" w:hAnsi="Century Gothic" w:cs="Calibri"/>
                <w:sz w:val="22"/>
                <w:szCs w:val="22"/>
              </w:rPr>
              <w:t>Authors</w:t>
            </w:r>
          </w:p>
        </w:tc>
        <w:tc>
          <w:tcPr>
            <w:tcW w:w="1468" w:type="dxa"/>
            <w:tcBorders>
              <w:top w:val="nil"/>
              <w:left w:val="nil"/>
              <w:bottom w:val="single" w:sz="4" w:space="0" w:color="auto"/>
              <w:right w:val="single" w:sz="4" w:space="0" w:color="auto"/>
            </w:tcBorders>
            <w:shd w:val="clear" w:color="auto" w:fill="auto"/>
            <w:noWrap/>
          </w:tcPr>
          <w:p w14:paraId="7EAE6671" w14:textId="77777777" w:rsidR="00DD6414" w:rsidRPr="00EF2937" w:rsidRDefault="00DD6414" w:rsidP="00DD6414">
            <w:pPr>
              <w:rPr>
                <w:rFonts w:ascii="Century Gothic" w:hAnsi="Century Gothic" w:cs="Calibri"/>
                <w:sz w:val="22"/>
                <w:szCs w:val="22"/>
              </w:rPr>
            </w:pPr>
            <w:r w:rsidRPr="00EF2937">
              <w:rPr>
                <w:rFonts w:ascii="Century Gothic" w:hAnsi="Century Gothic" w:cs="Calibri"/>
                <w:sz w:val="22"/>
                <w:szCs w:val="22"/>
              </w:rPr>
              <w:t>54-64</w:t>
            </w:r>
          </w:p>
          <w:p w14:paraId="5738394E" w14:textId="039CEC66" w:rsidR="00DD6414" w:rsidRPr="00EF2937" w:rsidRDefault="00DD6414" w:rsidP="00DD6414">
            <w:pPr>
              <w:rPr>
                <w:rFonts w:ascii="Century Gothic" w:hAnsi="Century Gothic" w:cs="Calibri"/>
                <w:sz w:val="22"/>
                <w:szCs w:val="22"/>
              </w:rPr>
            </w:pPr>
            <w:r w:rsidRPr="00EF2937">
              <w:rPr>
                <w:rFonts w:ascii="Century Gothic" w:hAnsi="Century Gothic" w:cs="Calibri"/>
                <w:sz w:val="22"/>
                <w:szCs w:val="22"/>
              </w:rPr>
              <w:t>73-83</w:t>
            </w:r>
          </w:p>
        </w:tc>
        <w:tc>
          <w:tcPr>
            <w:tcW w:w="2324" w:type="dxa"/>
            <w:tcBorders>
              <w:top w:val="nil"/>
              <w:left w:val="nil"/>
              <w:bottom w:val="single" w:sz="4" w:space="0" w:color="auto"/>
              <w:right w:val="single" w:sz="4" w:space="0" w:color="auto"/>
            </w:tcBorders>
            <w:shd w:val="clear" w:color="auto" w:fill="auto"/>
          </w:tcPr>
          <w:p w14:paraId="22FB50B6" w14:textId="3625B589" w:rsidR="00DD6414" w:rsidRPr="00EF2937" w:rsidRDefault="00DD6414" w:rsidP="00DD6414">
            <w:pPr>
              <w:rPr>
                <w:rFonts w:ascii="Century Gothic" w:hAnsi="Century Gothic" w:cs="Calibri"/>
                <w:sz w:val="22"/>
                <w:szCs w:val="22"/>
              </w:rPr>
            </w:pPr>
            <w:r w:rsidRPr="00EF2937">
              <w:rPr>
                <w:rFonts w:ascii="Century Gothic" w:hAnsi="Century Gothic" w:cs="Calibri"/>
                <w:sz w:val="22"/>
                <w:szCs w:val="22"/>
              </w:rPr>
              <w:t>Declarations of interests</w:t>
            </w:r>
          </w:p>
        </w:tc>
        <w:tc>
          <w:tcPr>
            <w:tcW w:w="4622" w:type="dxa"/>
            <w:tcBorders>
              <w:top w:val="nil"/>
              <w:left w:val="nil"/>
              <w:bottom w:val="single" w:sz="4" w:space="0" w:color="auto"/>
              <w:right w:val="single" w:sz="4" w:space="0" w:color="auto"/>
            </w:tcBorders>
            <w:shd w:val="clear" w:color="auto" w:fill="auto"/>
          </w:tcPr>
          <w:p w14:paraId="5FB21040" w14:textId="1DD9D9B1" w:rsidR="00DD6414" w:rsidRPr="00EF2937" w:rsidRDefault="00DD6414" w:rsidP="00DD6414">
            <w:pPr>
              <w:rPr>
                <w:rFonts w:ascii="Century Gothic" w:hAnsi="Century Gothic" w:cs="Calibri"/>
                <w:sz w:val="22"/>
                <w:szCs w:val="22"/>
              </w:rPr>
            </w:pPr>
            <w:r w:rsidRPr="00EF2937">
              <w:rPr>
                <w:rFonts w:ascii="Century Gothic" w:hAnsi="Century Gothic" w:cs="Calibri"/>
                <w:sz w:val="22"/>
                <w:szCs w:val="22"/>
              </w:rPr>
              <w:t xml:space="preserve">Ideally all authors should follow the same standard for declaring interests. </w:t>
            </w:r>
            <w:r w:rsidR="00B962D4" w:rsidRPr="00EF2937">
              <w:rPr>
                <w:rFonts w:ascii="Century Gothic" w:hAnsi="Century Gothic" w:cs="Calibri"/>
                <w:sz w:val="22"/>
                <w:szCs w:val="22"/>
              </w:rPr>
              <w:t xml:space="preserve">For </w:t>
            </w:r>
            <w:r w:rsidR="00492FDB" w:rsidRPr="00EF2937">
              <w:rPr>
                <w:rFonts w:ascii="Century Gothic" w:hAnsi="Century Gothic" w:cs="Calibri"/>
                <w:sz w:val="22"/>
                <w:szCs w:val="22"/>
              </w:rPr>
              <w:t>example,</w:t>
            </w:r>
            <w:r w:rsidRPr="00EF2937">
              <w:rPr>
                <w:rFonts w:ascii="Century Gothic" w:hAnsi="Century Gothic" w:cs="Calibri"/>
                <w:sz w:val="22"/>
                <w:szCs w:val="22"/>
              </w:rPr>
              <w:t xml:space="preserve"> some authors follow best practice (e.g. lines 41-47, 49-52, 66-71)</w:t>
            </w:r>
            <w:r w:rsidR="00B962D4" w:rsidRPr="00EF2937">
              <w:rPr>
                <w:rFonts w:ascii="Century Gothic" w:hAnsi="Century Gothic" w:cs="Calibri"/>
                <w:sz w:val="22"/>
                <w:szCs w:val="22"/>
              </w:rPr>
              <w:t xml:space="preserve"> and </w:t>
            </w:r>
            <w:r w:rsidR="00BC43F6">
              <w:rPr>
                <w:rFonts w:ascii="Century Gothic" w:hAnsi="Century Gothic" w:cs="Calibri"/>
                <w:sz w:val="22"/>
                <w:szCs w:val="22"/>
              </w:rPr>
              <w:t xml:space="preserve">all other </w:t>
            </w:r>
            <w:r w:rsidR="00B962D4" w:rsidRPr="00EF2937">
              <w:rPr>
                <w:rFonts w:ascii="Century Gothic" w:hAnsi="Century Gothic" w:cs="Calibri"/>
                <w:sz w:val="22"/>
                <w:szCs w:val="22"/>
              </w:rPr>
              <w:t xml:space="preserve">authors might want to replicate this approach.   </w:t>
            </w:r>
          </w:p>
          <w:p w14:paraId="1E5414C2" w14:textId="751600F2" w:rsidR="00071A3C" w:rsidRPr="00EF2937" w:rsidRDefault="00071A3C" w:rsidP="00DD6414">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1AAD2AA0" w14:textId="1AE1E2CE" w:rsidR="00DD6414" w:rsidRPr="00EF2937" w:rsidRDefault="00DD6414" w:rsidP="00DD6414">
            <w:pPr>
              <w:rPr>
                <w:rFonts w:ascii="Century Gothic" w:hAnsi="Century Gothic" w:cs="Calibri"/>
                <w:color w:val="000000"/>
                <w:sz w:val="22"/>
                <w:szCs w:val="22"/>
              </w:rPr>
            </w:pPr>
          </w:p>
        </w:tc>
      </w:tr>
      <w:tr w:rsidR="00C30A15" w:rsidRPr="00EF2937" w14:paraId="49599BBB"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6BC38381" w14:textId="6110E33A" w:rsidR="00DD6414" w:rsidRPr="00EF2937" w:rsidRDefault="00DD6414" w:rsidP="00DD6414">
            <w:pPr>
              <w:rPr>
                <w:rFonts w:ascii="Century Gothic" w:hAnsi="Century Gothic" w:cs="Calibri"/>
                <w:sz w:val="22"/>
                <w:szCs w:val="22"/>
              </w:rPr>
            </w:pPr>
            <w:r w:rsidRPr="00EF2937">
              <w:rPr>
                <w:rFonts w:ascii="Century Gothic" w:hAnsi="Century Gothic" w:cs="Calibri"/>
                <w:sz w:val="22"/>
                <w:szCs w:val="22"/>
              </w:rPr>
              <w:t xml:space="preserve">Introduction </w:t>
            </w:r>
          </w:p>
        </w:tc>
        <w:tc>
          <w:tcPr>
            <w:tcW w:w="1468" w:type="dxa"/>
            <w:tcBorders>
              <w:top w:val="nil"/>
              <w:left w:val="nil"/>
              <w:bottom w:val="single" w:sz="4" w:space="0" w:color="auto"/>
              <w:right w:val="single" w:sz="4" w:space="0" w:color="auto"/>
            </w:tcBorders>
            <w:shd w:val="clear" w:color="auto" w:fill="auto"/>
            <w:noWrap/>
          </w:tcPr>
          <w:p w14:paraId="4698CA59" w14:textId="3531593A" w:rsidR="00DD6414" w:rsidRPr="00EF2937" w:rsidRDefault="00DD6414" w:rsidP="00DD6414">
            <w:pPr>
              <w:rPr>
                <w:rFonts w:ascii="Century Gothic" w:hAnsi="Century Gothic" w:cs="Calibri"/>
                <w:sz w:val="22"/>
                <w:szCs w:val="22"/>
              </w:rPr>
            </w:pPr>
            <w:r w:rsidRPr="00EF2937">
              <w:rPr>
                <w:rFonts w:ascii="Century Gothic" w:hAnsi="Century Gothic" w:cs="Calibri"/>
                <w:sz w:val="22"/>
                <w:szCs w:val="22"/>
              </w:rPr>
              <w:t>223-224</w:t>
            </w:r>
          </w:p>
        </w:tc>
        <w:tc>
          <w:tcPr>
            <w:tcW w:w="2324" w:type="dxa"/>
            <w:tcBorders>
              <w:top w:val="nil"/>
              <w:left w:val="nil"/>
              <w:bottom w:val="single" w:sz="4" w:space="0" w:color="auto"/>
              <w:right w:val="single" w:sz="4" w:space="0" w:color="auto"/>
            </w:tcBorders>
            <w:shd w:val="clear" w:color="auto" w:fill="auto"/>
          </w:tcPr>
          <w:p w14:paraId="6E97941E" w14:textId="1558ACC4" w:rsidR="00DD6414" w:rsidRPr="00EF2937" w:rsidRDefault="00DD6414" w:rsidP="00DD6414">
            <w:pPr>
              <w:rPr>
                <w:rFonts w:ascii="Century Gothic" w:hAnsi="Century Gothic" w:cs="Calibri"/>
                <w:sz w:val="22"/>
                <w:szCs w:val="22"/>
              </w:rPr>
            </w:pPr>
            <w:r w:rsidRPr="00EF2937">
              <w:rPr>
                <w:rFonts w:ascii="Century Gothic" w:hAnsi="Century Gothic" w:cs="Calibri"/>
                <w:sz w:val="22"/>
                <w:szCs w:val="22"/>
              </w:rPr>
              <w:t xml:space="preserve">The aim of this guidance is to promote uniformity in the evidence-based assessment and management of adult patients with tinnitus. </w:t>
            </w:r>
          </w:p>
        </w:tc>
        <w:tc>
          <w:tcPr>
            <w:tcW w:w="4622" w:type="dxa"/>
            <w:tcBorders>
              <w:top w:val="nil"/>
              <w:left w:val="nil"/>
              <w:bottom w:val="single" w:sz="4" w:space="0" w:color="auto"/>
              <w:right w:val="single" w:sz="4" w:space="0" w:color="auto"/>
            </w:tcBorders>
            <w:shd w:val="clear" w:color="auto" w:fill="auto"/>
          </w:tcPr>
          <w:p w14:paraId="77125A9C" w14:textId="77777777" w:rsidR="00492FDB" w:rsidRDefault="006307CB" w:rsidP="00DD6414">
            <w:pPr>
              <w:rPr>
                <w:rFonts w:ascii="Century Gothic" w:hAnsi="Century Gothic" w:cs="Calibri"/>
                <w:sz w:val="22"/>
                <w:szCs w:val="22"/>
              </w:rPr>
            </w:pPr>
            <w:r w:rsidRPr="00EF2937">
              <w:rPr>
                <w:rFonts w:ascii="Century Gothic" w:hAnsi="Century Gothic" w:cs="Calibri"/>
                <w:sz w:val="22"/>
                <w:szCs w:val="22"/>
              </w:rPr>
              <w:t>We</w:t>
            </w:r>
            <w:r w:rsidR="00F1747C" w:rsidRPr="00EF2937">
              <w:rPr>
                <w:rFonts w:ascii="Century Gothic" w:hAnsi="Century Gothic" w:cs="Calibri"/>
                <w:sz w:val="22"/>
                <w:szCs w:val="22"/>
              </w:rPr>
              <w:t xml:space="preserve"> fully support this goal. </w:t>
            </w:r>
          </w:p>
          <w:p w14:paraId="0AC56C7A" w14:textId="77777777" w:rsidR="00492FDB" w:rsidRDefault="00492FDB" w:rsidP="00DD6414">
            <w:pPr>
              <w:rPr>
                <w:rFonts w:ascii="Century Gothic" w:hAnsi="Century Gothic" w:cs="Calibri"/>
                <w:sz w:val="22"/>
                <w:szCs w:val="22"/>
              </w:rPr>
            </w:pPr>
          </w:p>
          <w:p w14:paraId="7A4091D5" w14:textId="162B00AB" w:rsidR="00F1747C" w:rsidRPr="00EF2937" w:rsidRDefault="00F1747C" w:rsidP="00DD6414">
            <w:pPr>
              <w:rPr>
                <w:rFonts w:ascii="Century Gothic" w:hAnsi="Century Gothic" w:cs="Calibri"/>
                <w:b/>
                <w:bCs/>
                <w:sz w:val="22"/>
                <w:szCs w:val="22"/>
              </w:rPr>
            </w:pPr>
            <w:r w:rsidRPr="00EF2937">
              <w:rPr>
                <w:rFonts w:ascii="Century Gothic" w:hAnsi="Century Gothic" w:cs="Calibri"/>
                <w:sz w:val="22"/>
                <w:szCs w:val="22"/>
              </w:rPr>
              <w:t xml:space="preserve">However, </w:t>
            </w:r>
            <w:r w:rsidR="00071A3C" w:rsidRPr="00EF2937">
              <w:rPr>
                <w:rFonts w:ascii="Century Gothic" w:hAnsi="Century Gothic" w:cs="Calibri"/>
                <w:sz w:val="22"/>
                <w:szCs w:val="22"/>
              </w:rPr>
              <w:t xml:space="preserve">given </w:t>
            </w:r>
            <w:r w:rsidR="006307CB" w:rsidRPr="00EF2937">
              <w:rPr>
                <w:rFonts w:ascii="Century Gothic" w:hAnsi="Century Gothic" w:cs="Calibri"/>
                <w:sz w:val="22"/>
                <w:szCs w:val="22"/>
              </w:rPr>
              <w:t xml:space="preserve">NICE is also developing a guideline on </w:t>
            </w:r>
            <w:hyperlink r:id="rId7" w:history="1">
              <w:r w:rsidR="006307CB" w:rsidRPr="00EF2937">
                <w:rPr>
                  <w:rStyle w:val="Hyperlink"/>
                  <w:rFonts w:ascii="Century Gothic" w:hAnsi="Century Gothic" w:cs="Calibri"/>
                  <w:sz w:val="22"/>
                  <w:szCs w:val="22"/>
                </w:rPr>
                <w:t>Tinnitus: assessment and management</w:t>
              </w:r>
            </w:hyperlink>
            <w:r w:rsidR="00736039" w:rsidRPr="00EF2937">
              <w:rPr>
                <w:rStyle w:val="Hyperlink"/>
                <w:rFonts w:ascii="Century Gothic" w:hAnsi="Century Gothic" w:cs="Calibri"/>
                <w:color w:val="auto"/>
                <w:sz w:val="22"/>
                <w:szCs w:val="22"/>
                <w:u w:val="none"/>
              </w:rPr>
              <w:t xml:space="preserve"> the BSA publishing this guidance at the same time might make this goal more difficult to achieve. </w:t>
            </w:r>
          </w:p>
          <w:p w14:paraId="398771A6" w14:textId="0C0E953D" w:rsidR="00736039" w:rsidRPr="00EF2937" w:rsidRDefault="00736039" w:rsidP="00DD6414">
            <w:pPr>
              <w:rPr>
                <w:rFonts w:ascii="Century Gothic" w:hAnsi="Century Gothic" w:cs="Calibri"/>
                <w:sz w:val="22"/>
                <w:szCs w:val="22"/>
              </w:rPr>
            </w:pPr>
          </w:p>
          <w:p w14:paraId="2349CA57" w14:textId="58F378B4" w:rsidR="00736039" w:rsidRPr="00EF2937" w:rsidRDefault="00736039" w:rsidP="00DD6414">
            <w:pPr>
              <w:rPr>
                <w:rFonts w:ascii="Century Gothic" w:hAnsi="Century Gothic" w:cs="Calibri"/>
                <w:sz w:val="22"/>
                <w:szCs w:val="22"/>
              </w:rPr>
            </w:pPr>
            <w:r w:rsidRPr="00EF2937">
              <w:rPr>
                <w:rFonts w:ascii="Century Gothic" w:hAnsi="Century Gothic" w:cs="Calibri"/>
                <w:sz w:val="22"/>
                <w:szCs w:val="22"/>
              </w:rPr>
              <w:t xml:space="preserve">Whilst we appreciate the BSA guidance is created using a different methodology to the NICE guideline and </w:t>
            </w:r>
            <w:r w:rsidR="007128CA">
              <w:rPr>
                <w:rFonts w:ascii="Century Gothic" w:hAnsi="Century Gothic" w:cs="Calibri"/>
                <w:sz w:val="22"/>
                <w:szCs w:val="22"/>
              </w:rPr>
              <w:t xml:space="preserve">that </w:t>
            </w:r>
            <w:r w:rsidRPr="00EF2937">
              <w:rPr>
                <w:rFonts w:ascii="Century Gothic" w:hAnsi="Century Gothic" w:cs="Calibri"/>
                <w:sz w:val="22"/>
                <w:szCs w:val="22"/>
              </w:rPr>
              <w:t xml:space="preserve">the NICE guideline also covers </w:t>
            </w:r>
            <w:r w:rsidR="00DD6414" w:rsidRPr="00EF2937">
              <w:rPr>
                <w:rFonts w:ascii="Century Gothic" w:hAnsi="Century Gothic" w:cs="Calibri"/>
                <w:sz w:val="22"/>
                <w:szCs w:val="22"/>
              </w:rPr>
              <w:t>children and young people</w:t>
            </w:r>
            <w:r w:rsidRPr="00EF2937">
              <w:rPr>
                <w:rFonts w:ascii="Century Gothic" w:hAnsi="Century Gothic" w:cs="Calibri"/>
                <w:sz w:val="22"/>
                <w:szCs w:val="22"/>
              </w:rPr>
              <w:t>, some BSA authors are members of the NICE</w:t>
            </w:r>
            <w:r w:rsidR="007128CA">
              <w:rPr>
                <w:rFonts w:ascii="Century Gothic" w:hAnsi="Century Gothic" w:cs="Calibri"/>
                <w:sz w:val="22"/>
                <w:szCs w:val="22"/>
              </w:rPr>
              <w:t xml:space="preserve"> tinnitus guideline</w:t>
            </w:r>
            <w:r w:rsidRPr="00EF2937">
              <w:rPr>
                <w:rFonts w:ascii="Century Gothic" w:hAnsi="Century Gothic" w:cs="Calibri"/>
                <w:sz w:val="22"/>
                <w:szCs w:val="22"/>
              </w:rPr>
              <w:t xml:space="preserve"> Committee and there is</w:t>
            </w:r>
            <w:r w:rsidR="007128CA">
              <w:rPr>
                <w:rFonts w:ascii="Century Gothic" w:hAnsi="Century Gothic" w:cs="Calibri"/>
                <w:sz w:val="22"/>
                <w:szCs w:val="22"/>
              </w:rPr>
              <w:t xml:space="preserve"> a</w:t>
            </w:r>
            <w:r w:rsidRPr="00EF2937">
              <w:rPr>
                <w:rFonts w:ascii="Century Gothic" w:hAnsi="Century Gothic" w:cs="Calibri"/>
                <w:sz w:val="22"/>
                <w:szCs w:val="22"/>
              </w:rPr>
              <w:t xml:space="preserve"> significant overlap </w:t>
            </w:r>
            <w:r w:rsidR="007128CA">
              <w:rPr>
                <w:rFonts w:ascii="Century Gothic" w:hAnsi="Century Gothic" w:cs="Calibri"/>
                <w:sz w:val="22"/>
                <w:szCs w:val="22"/>
              </w:rPr>
              <w:t xml:space="preserve">in recommendations but some variation in the interpretation of evidence. </w:t>
            </w:r>
          </w:p>
          <w:p w14:paraId="2AFF1500" w14:textId="77777777" w:rsidR="00736039" w:rsidRPr="00EF2937" w:rsidRDefault="00736039" w:rsidP="00DD6414">
            <w:pPr>
              <w:rPr>
                <w:rFonts w:ascii="Century Gothic" w:hAnsi="Century Gothic" w:cs="Calibri"/>
                <w:sz w:val="22"/>
                <w:szCs w:val="22"/>
              </w:rPr>
            </w:pPr>
          </w:p>
          <w:p w14:paraId="49158775" w14:textId="73357487" w:rsidR="00736039" w:rsidRPr="00EF2937" w:rsidRDefault="00736039" w:rsidP="00DD6414">
            <w:pPr>
              <w:rPr>
                <w:rFonts w:ascii="Century Gothic" w:hAnsi="Century Gothic" w:cs="Calibri"/>
                <w:sz w:val="22"/>
                <w:szCs w:val="22"/>
              </w:rPr>
            </w:pPr>
            <w:r w:rsidRPr="00EF2937">
              <w:rPr>
                <w:rFonts w:ascii="Century Gothic" w:hAnsi="Century Gothic" w:cs="Calibri"/>
                <w:sz w:val="22"/>
                <w:szCs w:val="22"/>
              </w:rPr>
              <w:t xml:space="preserve">We </w:t>
            </w:r>
            <w:r w:rsidR="00CD4185" w:rsidRPr="00EF2937">
              <w:rPr>
                <w:rFonts w:ascii="Century Gothic" w:hAnsi="Century Gothic" w:cs="Calibri"/>
                <w:sz w:val="22"/>
                <w:szCs w:val="22"/>
              </w:rPr>
              <w:t>therefore</w:t>
            </w:r>
            <w:r w:rsidR="00CD4185" w:rsidRPr="00EF2937">
              <w:rPr>
                <w:rFonts w:ascii="Century Gothic" w:hAnsi="Century Gothic" w:cs="Calibri"/>
                <w:sz w:val="22"/>
                <w:szCs w:val="22"/>
              </w:rPr>
              <w:t xml:space="preserve"> </w:t>
            </w:r>
            <w:r w:rsidR="00CD4185">
              <w:rPr>
                <w:rFonts w:ascii="Century Gothic" w:hAnsi="Century Gothic" w:cs="Calibri"/>
                <w:sz w:val="22"/>
                <w:szCs w:val="22"/>
              </w:rPr>
              <w:t>hope</w:t>
            </w:r>
            <w:r w:rsidRPr="00EF2937">
              <w:rPr>
                <w:rFonts w:ascii="Century Gothic" w:hAnsi="Century Gothic" w:cs="Calibri"/>
                <w:sz w:val="22"/>
                <w:szCs w:val="22"/>
              </w:rPr>
              <w:t xml:space="preserve"> it is possible for the BSA to wait until the final NICE guideline is published – post consultation feedback – and to then frame the </w:t>
            </w:r>
            <w:r w:rsidR="00492FDB">
              <w:rPr>
                <w:rFonts w:ascii="Century Gothic" w:hAnsi="Century Gothic" w:cs="Calibri"/>
                <w:sz w:val="22"/>
                <w:szCs w:val="22"/>
              </w:rPr>
              <w:t xml:space="preserve">final </w:t>
            </w:r>
            <w:r w:rsidRPr="00EF2937">
              <w:rPr>
                <w:rFonts w:ascii="Century Gothic" w:hAnsi="Century Gothic" w:cs="Calibri"/>
                <w:sz w:val="22"/>
                <w:szCs w:val="22"/>
              </w:rPr>
              <w:t xml:space="preserve">BSA guidance so that it complements and </w:t>
            </w:r>
            <w:r w:rsidRPr="00EF2937">
              <w:rPr>
                <w:rFonts w:ascii="Century Gothic" w:hAnsi="Century Gothic" w:cs="Calibri"/>
                <w:sz w:val="22"/>
                <w:szCs w:val="22"/>
              </w:rPr>
              <w:lastRenderedPageBreak/>
              <w:t>adds to the NICE guideline recommendations</w:t>
            </w:r>
            <w:r w:rsidR="00492FDB">
              <w:rPr>
                <w:rFonts w:ascii="Century Gothic" w:hAnsi="Century Gothic" w:cs="Calibri"/>
                <w:sz w:val="22"/>
                <w:szCs w:val="22"/>
              </w:rPr>
              <w:t xml:space="preserve"> – obviously challenging NICE on scientific and </w:t>
            </w:r>
            <w:r w:rsidR="007A39E6">
              <w:rPr>
                <w:rFonts w:ascii="Century Gothic" w:hAnsi="Century Gothic" w:cs="Calibri"/>
                <w:sz w:val="22"/>
                <w:szCs w:val="22"/>
              </w:rPr>
              <w:t>evidence-based</w:t>
            </w:r>
            <w:r w:rsidR="00492FDB">
              <w:rPr>
                <w:rFonts w:ascii="Century Gothic" w:hAnsi="Century Gothic" w:cs="Calibri"/>
                <w:sz w:val="22"/>
                <w:szCs w:val="22"/>
              </w:rPr>
              <w:t xml:space="preserve"> grounds</w:t>
            </w:r>
            <w:r w:rsidR="00905081">
              <w:rPr>
                <w:rFonts w:ascii="Century Gothic" w:hAnsi="Century Gothic" w:cs="Calibri"/>
                <w:sz w:val="22"/>
                <w:szCs w:val="22"/>
              </w:rPr>
              <w:t xml:space="preserve"> if necessary at the time</w:t>
            </w:r>
            <w:r w:rsidR="00492FDB">
              <w:rPr>
                <w:rFonts w:ascii="Century Gothic" w:hAnsi="Century Gothic" w:cs="Calibri"/>
                <w:sz w:val="22"/>
                <w:szCs w:val="22"/>
              </w:rPr>
              <w:t xml:space="preserve">. </w:t>
            </w:r>
          </w:p>
          <w:p w14:paraId="481A304B" w14:textId="61325E38" w:rsidR="00DD6414" w:rsidRPr="00EF2937" w:rsidRDefault="00DD6414" w:rsidP="00905081">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2FBB8E94" w14:textId="11859911" w:rsidR="00DD6414" w:rsidRPr="00EF2937" w:rsidRDefault="00DD6414" w:rsidP="00DD6414">
            <w:pPr>
              <w:rPr>
                <w:rFonts w:ascii="Century Gothic" w:hAnsi="Century Gothic" w:cs="Calibri"/>
                <w:color w:val="000000"/>
                <w:sz w:val="22"/>
                <w:szCs w:val="22"/>
              </w:rPr>
            </w:pPr>
            <w:r w:rsidRPr="00EF2937">
              <w:rPr>
                <w:rFonts w:ascii="Century Gothic" w:hAnsi="Century Gothic" w:cs="Calibri"/>
                <w:color w:val="000000"/>
                <w:sz w:val="22"/>
                <w:szCs w:val="22"/>
              </w:rPr>
              <w:lastRenderedPageBreak/>
              <w:t>NA</w:t>
            </w:r>
          </w:p>
        </w:tc>
      </w:tr>
      <w:tr w:rsidR="00C30A15" w:rsidRPr="00EF2937" w14:paraId="7CD6AC18"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42F9B300" w14:textId="05DFFAD7" w:rsidR="00DD6414" w:rsidRPr="00EF2937" w:rsidRDefault="00047D2A" w:rsidP="00DD6414">
            <w:pPr>
              <w:rPr>
                <w:rFonts w:ascii="Century Gothic" w:hAnsi="Century Gothic" w:cs="Calibri"/>
                <w:sz w:val="22"/>
                <w:szCs w:val="22"/>
              </w:rPr>
            </w:pPr>
            <w:r w:rsidRPr="00EF2937">
              <w:rPr>
                <w:rFonts w:ascii="Century Gothic" w:hAnsi="Century Gothic" w:cs="Calibri"/>
                <w:sz w:val="22"/>
                <w:szCs w:val="22"/>
              </w:rPr>
              <w:t>Introduction</w:t>
            </w:r>
          </w:p>
        </w:tc>
        <w:tc>
          <w:tcPr>
            <w:tcW w:w="1468" w:type="dxa"/>
            <w:tcBorders>
              <w:top w:val="nil"/>
              <w:left w:val="nil"/>
              <w:bottom w:val="single" w:sz="4" w:space="0" w:color="auto"/>
              <w:right w:val="single" w:sz="4" w:space="0" w:color="auto"/>
            </w:tcBorders>
            <w:shd w:val="clear" w:color="auto" w:fill="auto"/>
            <w:noWrap/>
          </w:tcPr>
          <w:p w14:paraId="0054E304" w14:textId="4D310403" w:rsidR="00DD6414" w:rsidRPr="00EF2937" w:rsidRDefault="00047D2A" w:rsidP="00DD6414">
            <w:pPr>
              <w:rPr>
                <w:rFonts w:ascii="Century Gothic" w:hAnsi="Century Gothic" w:cs="Calibri"/>
                <w:sz w:val="22"/>
                <w:szCs w:val="22"/>
              </w:rPr>
            </w:pPr>
            <w:r w:rsidRPr="00EF2937">
              <w:rPr>
                <w:rFonts w:ascii="Century Gothic" w:hAnsi="Century Gothic" w:cs="Calibri"/>
                <w:sz w:val="22"/>
                <w:szCs w:val="22"/>
              </w:rPr>
              <w:t>214-217</w:t>
            </w:r>
          </w:p>
        </w:tc>
        <w:tc>
          <w:tcPr>
            <w:tcW w:w="2324" w:type="dxa"/>
            <w:tcBorders>
              <w:top w:val="nil"/>
              <w:left w:val="nil"/>
              <w:bottom w:val="single" w:sz="4" w:space="0" w:color="auto"/>
              <w:right w:val="single" w:sz="4" w:space="0" w:color="auto"/>
            </w:tcBorders>
            <w:shd w:val="clear" w:color="auto" w:fill="auto"/>
          </w:tcPr>
          <w:p w14:paraId="5395C607" w14:textId="52DCD782" w:rsidR="00DD6414" w:rsidRPr="00EF2937" w:rsidRDefault="00047D2A" w:rsidP="00DD6414">
            <w:pPr>
              <w:rPr>
                <w:rFonts w:ascii="Century Gothic" w:hAnsi="Century Gothic" w:cs="Calibri"/>
                <w:sz w:val="22"/>
                <w:szCs w:val="22"/>
              </w:rPr>
            </w:pPr>
            <w:r w:rsidRPr="00EF2937">
              <w:rPr>
                <w:rFonts w:ascii="Century Gothic" w:hAnsi="Century Gothic" w:cs="Calibri"/>
                <w:sz w:val="22"/>
                <w:szCs w:val="22"/>
              </w:rPr>
              <w:t>Add epidemiological data to this section.</w:t>
            </w:r>
          </w:p>
        </w:tc>
        <w:tc>
          <w:tcPr>
            <w:tcW w:w="4622" w:type="dxa"/>
            <w:tcBorders>
              <w:top w:val="nil"/>
              <w:left w:val="nil"/>
              <w:bottom w:val="single" w:sz="4" w:space="0" w:color="auto"/>
              <w:right w:val="single" w:sz="4" w:space="0" w:color="auto"/>
            </w:tcBorders>
            <w:shd w:val="clear" w:color="auto" w:fill="auto"/>
          </w:tcPr>
          <w:p w14:paraId="774BAC56" w14:textId="414B7295" w:rsidR="000E2672" w:rsidRDefault="00047D2A" w:rsidP="00DD6414">
            <w:pPr>
              <w:rPr>
                <w:rFonts w:ascii="Century Gothic" w:hAnsi="Century Gothic" w:cs="Calibri"/>
                <w:sz w:val="22"/>
                <w:szCs w:val="22"/>
              </w:rPr>
            </w:pPr>
            <w:r w:rsidRPr="00EF2937">
              <w:rPr>
                <w:rFonts w:ascii="Century Gothic" w:hAnsi="Century Gothic" w:cs="Calibri"/>
                <w:sz w:val="22"/>
                <w:szCs w:val="22"/>
              </w:rPr>
              <w:t xml:space="preserve">The introduction would benefit from more detail on the prevalence of tinnitus and hearing loss. </w:t>
            </w:r>
            <w:r w:rsidR="000E2672">
              <w:rPr>
                <w:rFonts w:ascii="Century Gothic" w:hAnsi="Century Gothic" w:cs="Calibri"/>
                <w:sz w:val="22"/>
                <w:szCs w:val="22"/>
              </w:rPr>
              <w:t xml:space="preserve">This will help readers understand the scale and impacts of tinnitus at a population level – which are often loss in the hearing loss data. </w:t>
            </w:r>
          </w:p>
          <w:p w14:paraId="28722098" w14:textId="77777777" w:rsidR="000E2672" w:rsidRDefault="000E2672" w:rsidP="00DD6414">
            <w:pPr>
              <w:rPr>
                <w:rFonts w:ascii="Century Gothic" w:hAnsi="Century Gothic" w:cs="Calibri"/>
                <w:sz w:val="22"/>
                <w:szCs w:val="22"/>
              </w:rPr>
            </w:pPr>
          </w:p>
          <w:p w14:paraId="1D14B9FB" w14:textId="4499FC23" w:rsidR="00047D2A" w:rsidRPr="00EF2937" w:rsidRDefault="00047D2A" w:rsidP="00DD6414">
            <w:pPr>
              <w:rPr>
                <w:rFonts w:ascii="Century Gothic" w:hAnsi="Century Gothic" w:cs="Calibri"/>
                <w:sz w:val="22"/>
                <w:szCs w:val="22"/>
              </w:rPr>
            </w:pPr>
            <w:r w:rsidRPr="00EF2937">
              <w:rPr>
                <w:rFonts w:ascii="Century Gothic" w:hAnsi="Century Gothic" w:cs="Calibri"/>
                <w:sz w:val="22"/>
                <w:szCs w:val="22"/>
              </w:rPr>
              <w:t xml:space="preserve">This can be done using data from elsewhere in the guidance – e.g. lines 867-869 could be included </w:t>
            </w:r>
            <w:r w:rsidR="000E2672">
              <w:rPr>
                <w:rFonts w:ascii="Century Gothic" w:hAnsi="Century Gothic" w:cs="Calibri"/>
                <w:sz w:val="22"/>
                <w:szCs w:val="22"/>
              </w:rPr>
              <w:t xml:space="preserve">in lines 2014-2017. Alternatively the BSA can refer </w:t>
            </w:r>
            <w:proofErr w:type="gramStart"/>
            <w:r w:rsidR="000E2672">
              <w:rPr>
                <w:rFonts w:ascii="Century Gothic" w:hAnsi="Century Gothic" w:cs="Calibri"/>
                <w:sz w:val="22"/>
                <w:szCs w:val="22"/>
              </w:rPr>
              <w:t xml:space="preserve">to </w:t>
            </w:r>
            <w:r w:rsidR="00844DC4" w:rsidRPr="00EF2937">
              <w:rPr>
                <w:rFonts w:ascii="Century Gothic" w:hAnsi="Century Gothic" w:cs="Calibri"/>
                <w:sz w:val="22"/>
                <w:szCs w:val="22"/>
              </w:rPr>
              <w:t xml:space="preserve"> the</w:t>
            </w:r>
            <w:proofErr w:type="gramEnd"/>
            <w:r w:rsidR="00844DC4" w:rsidRPr="00EF2937">
              <w:rPr>
                <w:rFonts w:ascii="Century Gothic" w:hAnsi="Century Gothic" w:cs="Calibri"/>
                <w:sz w:val="22"/>
                <w:szCs w:val="22"/>
              </w:rPr>
              <w:t xml:space="preserve"> NHS JSNA guide for tinnitus</w:t>
            </w:r>
            <w:r w:rsidR="000E2672">
              <w:rPr>
                <w:rFonts w:ascii="Century Gothic" w:hAnsi="Century Gothic" w:cs="Calibri"/>
                <w:sz w:val="22"/>
                <w:szCs w:val="22"/>
              </w:rPr>
              <w:t>, which is endorsed by public health experts, as it</w:t>
            </w:r>
            <w:r w:rsidR="00844DC4" w:rsidRPr="00EF2937">
              <w:rPr>
                <w:rFonts w:ascii="Century Gothic" w:hAnsi="Century Gothic" w:cs="Calibri"/>
                <w:sz w:val="22"/>
                <w:szCs w:val="22"/>
              </w:rPr>
              <w:t xml:space="preserve"> notes:</w:t>
            </w:r>
          </w:p>
          <w:p w14:paraId="1D9D50C4" w14:textId="54E865C9" w:rsidR="00844DC4" w:rsidRPr="00EF2937" w:rsidRDefault="00844DC4" w:rsidP="00DD6414">
            <w:pPr>
              <w:rPr>
                <w:rFonts w:ascii="Century Gothic" w:hAnsi="Century Gothic" w:cs="Calibri"/>
                <w:sz w:val="22"/>
                <w:szCs w:val="22"/>
              </w:rPr>
            </w:pPr>
          </w:p>
          <w:p w14:paraId="719C9A5C" w14:textId="626AAEAB" w:rsidR="00844DC4" w:rsidRDefault="00844DC4" w:rsidP="00844DC4">
            <w:pPr>
              <w:rPr>
                <w:rFonts w:ascii="Century Gothic" w:hAnsi="Century Gothic"/>
                <w:sz w:val="22"/>
                <w:szCs w:val="22"/>
              </w:rPr>
            </w:pPr>
            <w:r w:rsidRPr="00EF2937">
              <w:rPr>
                <w:rFonts w:ascii="Century Gothic" w:hAnsi="Century Gothic" w:cs="Calibri"/>
                <w:color w:val="000000"/>
                <w:sz w:val="22"/>
                <w:szCs w:val="22"/>
              </w:rPr>
              <w:t>“</w:t>
            </w:r>
            <w:r w:rsidRPr="00EF2937">
              <w:rPr>
                <w:rFonts w:ascii="Century Gothic" w:hAnsi="Century Gothic"/>
                <w:sz w:val="22"/>
                <w:szCs w:val="22"/>
              </w:rPr>
              <w:t xml:space="preserve">10 percent of the population will have tinnitus at some </w:t>
            </w:r>
            <w:proofErr w:type="gramStart"/>
            <w:r w:rsidRPr="00EF2937">
              <w:rPr>
                <w:rFonts w:ascii="Century Gothic" w:hAnsi="Century Gothic"/>
                <w:sz w:val="22"/>
                <w:szCs w:val="22"/>
              </w:rPr>
              <w:t>point</w:t>
            </w:r>
            <w:proofErr w:type="gramEnd"/>
            <w:r w:rsidRPr="00EF2937">
              <w:rPr>
                <w:rFonts w:ascii="Century Gothic" w:hAnsi="Century Gothic"/>
                <w:sz w:val="22"/>
                <w:szCs w:val="22"/>
              </w:rPr>
              <w:t xml:space="preserve"> and it will be moderately annoying in 2.8 percent of the population; severely annoying in 1.6 percent; and disrupting a person’s ability to live a normal life in 0.5 percent. Tinnitus is also a relatively common experience in children, and in terms of prevalence, is on a par with the adult population.”</w:t>
            </w:r>
          </w:p>
          <w:p w14:paraId="31BBBBCD" w14:textId="77777777" w:rsidR="000E2672" w:rsidRPr="00EF2937" w:rsidRDefault="000E2672" w:rsidP="00844DC4">
            <w:pPr>
              <w:rPr>
                <w:rFonts w:ascii="Century Gothic" w:hAnsi="Century Gothic"/>
                <w:sz w:val="22"/>
                <w:szCs w:val="22"/>
              </w:rPr>
            </w:pPr>
          </w:p>
          <w:p w14:paraId="1E17FD1E" w14:textId="0A206D9C" w:rsidR="00844DC4" w:rsidRDefault="00844DC4" w:rsidP="00844DC4">
            <w:pPr>
              <w:rPr>
                <w:rFonts w:ascii="Century Gothic" w:hAnsi="Century Gothic"/>
                <w:sz w:val="22"/>
                <w:szCs w:val="22"/>
              </w:rPr>
            </w:pPr>
            <w:r w:rsidRPr="00EF2937">
              <w:rPr>
                <w:rFonts w:ascii="Century Gothic" w:hAnsi="Century Gothic"/>
                <w:sz w:val="22"/>
                <w:szCs w:val="22"/>
              </w:rPr>
              <w:t xml:space="preserve">“Tinnitus is often associated with hearing loss. For example, 75 percent of people </w:t>
            </w:r>
            <w:r w:rsidRPr="00EF2937">
              <w:rPr>
                <w:rFonts w:ascii="Century Gothic" w:hAnsi="Century Gothic"/>
                <w:sz w:val="22"/>
                <w:szCs w:val="22"/>
              </w:rPr>
              <w:lastRenderedPageBreak/>
              <w:t>with hearing loss might experience tinnitus, whilst only 20 percent to 30 percent of people who report tinnitus have normal hearing. It is estimated that 3 percent of adults might require a clinical intervention for tinnitus. Evidence suggests that tinnitus is linked to depression and other mental health issues “</w:t>
            </w:r>
          </w:p>
          <w:p w14:paraId="1919ADC0" w14:textId="2EAB31AE" w:rsidR="000E2672" w:rsidRPr="00EF2937" w:rsidRDefault="000E2672" w:rsidP="00844DC4">
            <w:pPr>
              <w:rPr>
                <w:rFonts w:ascii="Century Gothic" w:hAnsi="Century Gothic"/>
                <w:sz w:val="22"/>
                <w:szCs w:val="22"/>
              </w:rPr>
            </w:pPr>
            <w:r>
              <w:rPr>
                <w:rFonts w:ascii="Century Gothic" w:hAnsi="Century Gothic"/>
                <w:sz w:val="22"/>
                <w:szCs w:val="22"/>
              </w:rPr>
              <w:t xml:space="preserve">Source: NHS England, Public Health England et al. 2019 – access here </w:t>
            </w:r>
          </w:p>
          <w:p w14:paraId="6B2FE14D" w14:textId="6CBEB61B" w:rsidR="00844DC4" w:rsidRPr="00EF2937" w:rsidRDefault="00B24497" w:rsidP="00844DC4">
            <w:pPr>
              <w:rPr>
                <w:rFonts w:ascii="Century Gothic" w:hAnsi="Century Gothic"/>
                <w:sz w:val="22"/>
                <w:szCs w:val="22"/>
              </w:rPr>
            </w:pPr>
            <w:hyperlink r:id="rId8" w:history="1">
              <w:r w:rsidR="00844DC4" w:rsidRPr="00EF2937">
                <w:rPr>
                  <w:rStyle w:val="Hyperlink"/>
                  <w:rFonts w:ascii="Century Gothic" w:hAnsi="Century Gothic"/>
                  <w:sz w:val="22"/>
                  <w:szCs w:val="22"/>
                </w:rPr>
                <w:t>https://www.england.nhs.uk/wp-content/uploads/2017/09/joint-strategic-needs-assessment-guidance-jul19.pdf</w:t>
              </w:r>
            </w:hyperlink>
          </w:p>
          <w:p w14:paraId="33DACF84" w14:textId="3F2F88BB" w:rsidR="00844DC4" w:rsidRPr="00EF2937" w:rsidRDefault="00844DC4" w:rsidP="00DD6414">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6C57BC10" w14:textId="5844A4E3" w:rsidR="00047D2A" w:rsidRPr="00EF2937" w:rsidRDefault="001A51C0" w:rsidP="00DD6414">
            <w:pPr>
              <w:rPr>
                <w:rFonts w:ascii="Century Gothic" w:hAnsi="Century Gothic" w:cs="Calibri"/>
                <w:color w:val="000000"/>
                <w:sz w:val="22"/>
                <w:szCs w:val="22"/>
              </w:rPr>
            </w:pPr>
            <w:r w:rsidRPr="00EF2937">
              <w:rPr>
                <w:rFonts w:ascii="Century Gothic" w:hAnsi="Century Gothic" w:cs="Calibri"/>
                <w:color w:val="000000"/>
                <w:sz w:val="22"/>
                <w:szCs w:val="22"/>
              </w:rPr>
              <w:lastRenderedPageBreak/>
              <w:t xml:space="preserve">Include a modified version of wording in the NHS JSNA guide (as per left column) so readers understand tinnitus is very common and important at population level. </w:t>
            </w:r>
          </w:p>
        </w:tc>
      </w:tr>
      <w:tr w:rsidR="00C30A15" w:rsidRPr="00EF2937" w14:paraId="68DC8E56"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04BB35CF" w14:textId="02C4AAD4" w:rsidR="00DD6414" w:rsidRPr="00EF2937" w:rsidRDefault="0036535A" w:rsidP="00DD6414">
            <w:pPr>
              <w:rPr>
                <w:rFonts w:ascii="Century Gothic" w:hAnsi="Century Gothic" w:cs="Calibri"/>
                <w:sz w:val="22"/>
                <w:szCs w:val="22"/>
              </w:rPr>
            </w:pPr>
            <w:r w:rsidRPr="00EF2937">
              <w:rPr>
                <w:rFonts w:ascii="Century Gothic" w:hAnsi="Century Gothic" w:cs="Calibri"/>
                <w:sz w:val="22"/>
                <w:szCs w:val="22"/>
              </w:rPr>
              <w:t>4</w:t>
            </w:r>
          </w:p>
        </w:tc>
        <w:tc>
          <w:tcPr>
            <w:tcW w:w="1468" w:type="dxa"/>
            <w:tcBorders>
              <w:top w:val="nil"/>
              <w:left w:val="nil"/>
              <w:bottom w:val="single" w:sz="4" w:space="0" w:color="auto"/>
              <w:right w:val="single" w:sz="4" w:space="0" w:color="auto"/>
            </w:tcBorders>
            <w:shd w:val="clear" w:color="auto" w:fill="auto"/>
            <w:noWrap/>
          </w:tcPr>
          <w:p w14:paraId="1D0BE9B8" w14:textId="08064DD1" w:rsidR="00DD6414" w:rsidRPr="00EF2937" w:rsidRDefault="0036535A" w:rsidP="00DD6414">
            <w:pPr>
              <w:rPr>
                <w:rFonts w:ascii="Century Gothic" w:hAnsi="Century Gothic" w:cs="Calibri"/>
                <w:sz w:val="22"/>
                <w:szCs w:val="22"/>
              </w:rPr>
            </w:pPr>
            <w:r w:rsidRPr="00EF2937">
              <w:rPr>
                <w:rFonts w:ascii="Century Gothic" w:hAnsi="Century Gothic" w:cs="Calibri"/>
                <w:sz w:val="22"/>
                <w:szCs w:val="22"/>
              </w:rPr>
              <w:t>242-244</w:t>
            </w:r>
          </w:p>
        </w:tc>
        <w:tc>
          <w:tcPr>
            <w:tcW w:w="2324" w:type="dxa"/>
            <w:tcBorders>
              <w:top w:val="nil"/>
              <w:left w:val="nil"/>
              <w:bottom w:val="single" w:sz="4" w:space="0" w:color="auto"/>
              <w:right w:val="single" w:sz="4" w:space="0" w:color="auto"/>
            </w:tcBorders>
            <w:shd w:val="clear" w:color="auto" w:fill="auto"/>
          </w:tcPr>
          <w:p w14:paraId="6D11EF10" w14:textId="40123FEB" w:rsidR="00DD6414" w:rsidRPr="00EF2937" w:rsidRDefault="0036535A" w:rsidP="00DD6414">
            <w:pPr>
              <w:rPr>
                <w:rFonts w:ascii="Century Gothic" w:hAnsi="Century Gothic" w:cs="Calibri"/>
                <w:sz w:val="22"/>
                <w:szCs w:val="22"/>
              </w:rPr>
            </w:pPr>
            <w:r w:rsidRPr="00EF2937">
              <w:rPr>
                <w:rFonts w:ascii="Century Gothic" w:hAnsi="Century Gothic" w:cs="Calibri"/>
                <w:sz w:val="22"/>
                <w:szCs w:val="22"/>
              </w:rPr>
              <w:t>Topics were considered suitable and useful for inclusion if there existed either (1) high level research evidence such as randomised controlled trials and systematic reviews</w:t>
            </w:r>
          </w:p>
        </w:tc>
        <w:tc>
          <w:tcPr>
            <w:tcW w:w="4622" w:type="dxa"/>
            <w:tcBorders>
              <w:top w:val="nil"/>
              <w:left w:val="nil"/>
              <w:bottom w:val="single" w:sz="4" w:space="0" w:color="auto"/>
              <w:right w:val="single" w:sz="4" w:space="0" w:color="auto"/>
            </w:tcBorders>
            <w:shd w:val="clear" w:color="auto" w:fill="auto"/>
          </w:tcPr>
          <w:p w14:paraId="5D3A1E30" w14:textId="6A7B267C" w:rsidR="0036535A" w:rsidRDefault="0036535A" w:rsidP="00DD6414">
            <w:pPr>
              <w:rPr>
                <w:rFonts w:ascii="Century Gothic" w:hAnsi="Century Gothic" w:cs="Calibri"/>
                <w:sz w:val="22"/>
                <w:szCs w:val="22"/>
              </w:rPr>
            </w:pPr>
            <w:r w:rsidRPr="00EF2937">
              <w:rPr>
                <w:rFonts w:ascii="Century Gothic" w:hAnsi="Century Gothic" w:cs="Calibri"/>
                <w:sz w:val="22"/>
                <w:szCs w:val="22"/>
              </w:rPr>
              <w:t xml:space="preserve">Please see our comment above </w:t>
            </w:r>
            <w:r w:rsidR="001A68F3">
              <w:rPr>
                <w:rFonts w:ascii="Century Gothic" w:hAnsi="Century Gothic" w:cs="Calibri"/>
                <w:sz w:val="22"/>
                <w:szCs w:val="22"/>
              </w:rPr>
              <w:t>regarding the</w:t>
            </w:r>
            <w:r w:rsidRPr="00EF2937">
              <w:rPr>
                <w:rFonts w:ascii="Century Gothic" w:hAnsi="Century Gothic" w:cs="Calibri"/>
                <w:sz w:val="22"/>
                <w:szCs w:val="22"/>
              </w:rPr>
              <w:t xml:space="preserve"> NICE consultation on </w:t>
            </w:r>
            <w:hyperlink r:id="rId9" w:history="1">
              <w:r w:rsidRPr="00EF2937">
                <w:rPr>
                  <w:rStyle w:val="Hyperlink"/>
                  <w:rFonts w:ascii="Century Gothic" w:hAnsi="Century Gothic" w:cs="Calibri"/>
                  <w:sz w:val="22"/>
                  <w:szCs w:val="22"/>
                </w:rPr>
                <w:t>Tinnitus: assessment and management</w:t>
              </w:r>
            </w:hyperlink>
            <w:r w:rsidRPr="00EF2937">
              <w:rPr>
                <w:rFonts w:ascii="Century Gothic" w:hAnsi="Century Gothic" w:cs="Calibri"/>
                <w:sz w:val="22"/>
                <w:szCs w:val="22"/>
              </w:rPr>
              <w:t xml:space="preserve">.  </w:t>
            </w:r>
            <w:r w:rsidR="001A68F3">
              <w:rPr>
                <w:rFonts w:ascii="Century Gothic" w:hAnsi="Century Gothic" w:cs="Calibri"/>
                <w:sz w:val="22"/>
                <w:szCs w:val="22"/>
              </w:rPr>
              <w:t xml:space="preserve">The NICE consultation includes evidence-based documents alongside its guideline recommendations and analysis of those documents shows that there is limited evidence to support recommendations. It might be helpful to make it clearer where recommendations in the BSA guidance are based on high or moderate quality evidence or committee consensus. </w:t>
            </w:r>
          </w:p>
          <w:p w14:paraId="640D33FE" w14:textId="561776EC" w:rsidR="001A68F3" w:rsidRPr="00EF2937" w:rsidRDefault="001A68F3" w:rsidP="00DD6414">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699088CA" w14:textId="77777777" w:rsidR="00DD6414" w:rsidRPr="00EF2937" w:rsidRDefault="00DD6414" w:rsidP="00DD6414">
            <w:pPr>
              <w:rPr>
                <w:rFonts w:ascii="Century Gothic" w:hAnsi="Century Gothic" w:cs="Calibri"/>
                <w:color w:val="000000"/>
                <w:sz w:val="22"/>
                <w:szCs w:val="22"/>
              </w:rPr>
            </w:pPr>
          </w:p>
        </w:tc>
      </w:tr>
      <w:tr w:rsidR="00C30A15" w:rsidRPr="00EF2937" w14:paraId="721746EE"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708ADB7C" w14:textId="5EFC939E" w:rsidR="00DD6414" w:rsidRPr="00EF2937" w:rsidRDefault="00DC0016" w:rsidP="00DD6414">
            <w:pPr>
              <w:rPr>
                <w:rFonts w:ascii="Century Gothic" w:hAnsi="Century Gothic" w:cs="Calibri"/>
                <w:sz w:val="22"/>
                <w:szCs w:val="22"/>
              </w:rPr>
            </w:pPr>
            <w:r w:rsidRPr="00EF2937">
              <w:rPr>
                <w:rFonts w:ascii="Century Gothic" w:hAnsi="Century Gothic" w:cs="Calibri"/>
                <w:sz w:val="22"/>
                <w:szCs w:val="22"/>
              </w:rPr>
              <w:t>Table 3.1</w:t>
            </w:r>
          </w:p>
        </w:tc>
        <w:tc>
          <w:tcPr>
            <w:tcW w:w="1468" w:type="dxa"/>
            <w:tcBorders>
              <w:top w:val="nil"/>
              <w:left w:val="nil"/>
              <w:bottom w:val="single" w:sz="4" w:space="0" w:color="auto"/>
              <w:right w:val="single" w:sz="4" w:space="0" w:color="auto"/>
            </w:tcBorders>
            <w:shd w:val="clear" w:color="auto" w:fill="auto"/>
            <w:noWrap/>
          </w:tcPr>
          <w:p w14:paraId="1A1307C7" w14:textId="77777777" w:rsidR="00DD6414" w:rsidRPr="00EF2937" w:rsidRDefault="00DD6414" w:rsidP="00DD6414">
            <w:pPr>
              <w:rPr>
                <w:rFonts w:ascii="Century Gothic" w:hAnsi="Century Gothic" w:cs="Calibri"/>
                <w:sz w:val="22"/>
                <w:szCs w:val="22"/>
              </w:rPr>
            </w:pPr>
          </w:p>
        </w:tc>
        <w:tc>
          <w:tcPr>
            <w:tcW w:w="2324" w:type="dxa"/>
            <w:tcBorders>
              <w:top w:val="nil"/>
              <w:left w:val="nil"/>
              <w:bottom w:val="single" w:sz="4" w:space="0" w:color="auto"/>
              <w:right w:val="single" w:sz="4" w:space="0" w:color="auto"/>
            </w:tcBorders>
            <w:shd w:val="clear" w:color="auto" w:fill="auto"/>
          </w:tcPr>
          <w:p w14:paraId="671E2E23" w14:textId="47CAC1EE" w:rsidR="00DD6414" w:rsidRPr="00EF2937" w:rsidRDefault="00DC0016" w:rsidP="00DD6414">
            <w:pPr>
              <w:rPr>
                <w:rFonts w:ascii="Century Gothic" w:hAnsi="Century Gothic" w:cs="Calibri"/>
                <w:sz w:val="22"/>
                <w:szCs w:val="22"/>
              </w:rPr>
            </w:pPr>
            <w:r w:rsidRPr="00EF2937">
              <w:rPr>
                <w:rFonts w:ascii="Century Gothic" w:hAnsi="Century Gothic" w:cs="Calibri"/>
                <w:sz w:val="22"/>
                <w:szCs w:val="22"/>
              </w:rPr>
              <w:t xml:space="preserve">Disorders associated with tinnitus </w:t>
            </w:r>
          </w:p>
        </w:tc>
        <w:tc>
          <w:tcPr>
            <w:tcW w:w="4622" w:type="dxa"/>
            <w:tcBorders>
              <w:top w:val="nil"/>
              <w:left w:val="nil"/>
              <w:bottom w:val="single" w:sz="4" w:space="0" w:color="auto"/>
              <w:right w:val="single" w:sz="4" w:space="0" w:color="auto"/>
            </w:tcBorders>
            <w:shd w:val="clear" w:color="auto" w:fill="auto"/>
          </w:tcPr>
          <w:p w14:paraId="0BDCF48C" w14:textId="39877A0C" w:rsidR="00DC0016" w:rsidRPr="00EF2937" w:rsidRDefault="00354C9B" w:rsidP="00DD6414">
            <w:pPr>
              <w:rPr>
                <w:rFonts w:ascii="Century Gothic" w:hAnsi="Century Gothic" w:cs="Calibri"/>
                <w:sz w:val="22"/>
                <w:szCs w:val="22"/>
              </w:rPr>
            </w:pPr>
            <w:r>
              <w:rPr>
                <w:rFonts w:ascii="Century Gothic" w:hAnsi="Century Gothic" w:cs="Calibri"/>
                <w:sz w:val="22"/>
                <w:szCs w:val="22"/>
              </w:rPr>
              <w:t>I</w:t>
            </w:r>
            <w:r w:rsidR="00DC0016" w:rsidRPr="00EF2937">
              <w:rPr>
                <w:rFonts w:ascii="Century Gothic" w:hAnsi="Century Gothic" w:cs="Calibri"/>
                <w:sz w:val="22"/>
                <w:szCs w:val="22"/>
              </w:rPr>
              <w:t xml:space="preserve">t is not clear that everything in table should be referred to as a “disorder”. </w:t>
            </w:r>
            <w:r>
              <w:rPr>
                <w:rFonts w:ascii="Century Gothic" w:hAnsi="Century Gothic" w:cs="Calibri"/>
                <w:sz w:val="22"/>
                <w:szCs w:val="22"/>
              </w:rPr>
              <w:t xml:space="preserve"> This however is a stylistic choice and one we will leave to the BSA.</w:t>
            </w:r>
          </w:p>
        </w:tc>
        <w:tc>
          <w:tcPr>
            <w:tcW w:w="4252" w:type="dxa"/>
            <w:tcBorders>
              <w:top w:val="nil"/>
              <w:left w:val="nil"/>
              <w:bottom w:val="single" w:sz="4" w:space="0" w:color="auto"/>
              <w:right w:val="single" w:sz="4" w:space="0" w:color="auto"/>
            </w:tcBorders>
            <w:shd w:val="clear" w:color="auto" w:fill="auto"/>
            <w:noWrap/>
          </w:tcPr>
          <w:p w14:paraId="3A44BB29" w14:textId="1391D630" w:rsidR="00DD6414" w:rsidRPr="00EF2937" w:rsidRDefault="00DC0016" w:rsidP="00DD6414">
            <w:pPr>
              <w:rPr>
                <w:rFonts w:ascii="Century Gothic" w:hAnsi="Century Gothic" w:cs="Calibri"/>
                <w:color w:val="000000"/>
                <w:sz w:val="22"/>
                <w:szCs w:val="22"/>
              </w:rPr>
            </w:pPr>
            <w:r w:rsidRPr="00EF2937">
              <w:rPr>
                <w:rFonts w:ascii="Century Gothic" w:hAnsi="Century Gothic" w:cs="Calibri"/>
                <w:color w:val="000000"/>
                <w:sz w:val="22"/>
                <w:szCs w:val="22"/>
              </w:rPr>
              <w:t xml:space="preserve">Consider an alternative to </w:t>
            </w:r>
            <w:r w:rsidR="00354C9B">
              <w:rPr>
                <w:rFonts w:ascii="Century Gothic" w:hAnsi="Century Gothic" w:cs="Calibri"/>
                <w:color w:val="000000"/>
                <w:sz w:val="22"/>
                <w:szCs w:val="22"/>
              </w:rPr>
              <w:t>“</w:t>
            </w:r>
            <w:r w:rsidRPr="00EF2937">
              <w:rPr>
                <w:rFonts w:ascii="Century Gothic" w:hAnsi="Century Gothic" w:cs="Calibri"/>
                <w:color w:val="000000"/>
                <w:sz w:val="22"/>
                <w:szCs w:val="22"/>
              </w:rPr>
              <w:t>disorder</w:t>
            </w:r>
            <w:r w:rsidR="00354C9B">
              <w:rPr>
                <w:rFonts w:ascii="Century Gothic" w:hAnsi="Century Gothic" w:cs="Calibri"/>
                <w:color w:val="000000"/>
                <w:sz w:val="22"/>
                <w:szCs w:val="22"/>
              </w:rPr>
              <w:t xml:space="preserve">”. </w:t>
            </w:r>
            <w:r w:rsidRPr="00EF2937">
              <w:rPr>
                <w:rFonts w:ascii="Century Gothic" w:hAnsi="Century Gothic" w:cs="Calibri"/>
                <w:color w:val="000000"/>
                <w:sz w:val="22"/>
                <w:szCs w:val="22"/>
              </w:rPr>
              <w:t xml:space="preserve"> </w:t>
            </w:r>
          </w:p>
          <w:p w14:paraId="448CE532" w14:textId="5A2A7927" w:rsidR="00DC0016" w:rsidRDefault="00DC0016" w:rsidP="00DD6414">
            <w:pPr>
              <w:rPr>
                <w:rFonts w:ascii="Century Gothic" w:hAnsi="Century Gothic" w:cs="Calibri"/>
                <w:color w:val="000000"/>
                <w:sz w:val="22"/>
                <w:szCs w:val="22"/>
              </w:rPr>
            </w:pPr>
          </w:p>
          <w:p w14:paraId="2A76A0A4" w14:textId="23FD7465" w:rsidR="00354C9B" w:rsidRDefault="00354C9B" w:rsidP="00DD6414">
            <w:pPr>
              <w:rPr>
                <w:rFonts w:ascii="Century Gothic" w:hAnsi="Century Gothic" w:cs="Calibri"/>
                <w:color w:val="000000"/>
                <w:sz w:val="22"/>
                <w:szCs w:val="22"/>
              </w:rPr>
            </w:pPr>
          </w:p>
          <w:p w14:paraId="50D50136" w14:textId="77777777" w:rsidR="00122FD3" w:rsidRDefault="00122FD3" w:rsidP="00DD6414">
            <w:pPr>
              <w:rPr>
                <w:rFonts w:ascii="Century Gothic" w:hAnsi="Century Gothic" w:cs="Calibri"/>
                <w:color w:val="000000"/>
                <w:sz w:val="22"/>
                <w:szCs w:val="22"/>
              </w:rPr>
            </w:pPr>
          </w:p>
          <w:p w14:paraId="369E4DB1" w14:textId="1D61ED30" w:rsidR="00354C9B" w:rsidRPr="00EF2937" w:rsidRDefault="00354C9B" w:rsidP="00DD6414">
            <w:pPr>
              <w:rPr>
                <w:rFonts w:ascii="Century Gothic" w:hAnsi="Century Gothic" w:cs="Calibri"/>
                <w:color w:val="000000"/>
                <w:sz w:val="22"/>
                <w:szCs w:val="22"/>
              </w:rPr>
            </w:pPr>
          </w:p>
        </w:tc>
      </w:tr>
      <w:tr w:rsidR="00354C9B" w:rsidRPr="00EF2937" w14:paraId="642E27C5"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12FD5C6B" w14:textId="712D610C"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lastRenderedPageBreak/>
              <w:t>Table 3.1</w:t>
            </w:r>
          </w:p>
        </w:tc>
        <w:tc>
          <w:tcPr>
            <w:tcW w:w="1468" w:type="dxa"/>
            <w:tcBorders>
              <w:top w:val="nil"/>
              <w:left w:val="nil"/>
              <w:bottom w:val="single" w:sz="4" w:space="0" w:color="auto"/>
              <w:right w:val="single" w:sz="4" w:space="0" w:color="auto"/>
            </w:tcBorders>
            <w:shd w:val="clear" w:color="auto" w:fill="auto"/>
            <w:noWrap/>
          </w:tcPr>
          <w:p w14:paraId="1CCF3C21" w14:textId="77777777" w:rsidR="00354C9B" w:rsidRPr="00EF2937" w:rsidRDefault="00354C9B" w:rsidP="00354C9B">
            <w:pPr>
              <w:rPr>
                <w:rFonts w:ascii="Century Gothic" w:hAnsi="Century Gothic" w:cs="Calibri"/>
                <w:sz w:val="22"/>
                <w:szCs w:val="22"/>
              </w:rPr>
            </w:pPr>
          </w:p>
        </w:tc>
        <w:tc>
          <w:tcPr>
            <w:tcW w:w="2324" w:type="dxa"/>
            <w:tcBorders>
              <w:top w:val="nil"/>
              <w:left w:val="nil"/>
              <w:bottom w:val="single" w:sz="4" w:space="0" w:color="auto"/>
              <w:right w:val="single" w:sz="4" w:space="0" w:color="auto"/>
            </w:tcBorders>
            <w:shd w:val="clear" w:color="auto" w:fill="auto"/>
          </w:tcPr>
          <w:p w14:paraId="55428DDC" w14:textId="74F0EB4A"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 xml:space="preserve">Disorders associated with tinnitus </w:t>
            </w:r>
          </w:p>
        </w:tc>
        <w:tc>
          <w:tcPr>
            <w:tcW w:w="4622" w:type="dxa"/>
            <w:tcBorders>
              <w:top w:val="nil"/>
              <w:left w:val="nil"/>
              <w:bottom w:val="single" w:sz="4" w:space="0" w:color="auto"/>
              <w:right w:val="single" w:sz="4" w:space="0" w:color="auto"/>
            </w:tcBorders>
            <w:shd w:val="clear" w:color="auto" w:fill="auto"/>
          </w:tcPr>
          <w:p w14:paraId="754922E3" w14:textId="468A6469"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 xml:space="preserve">Hearing loss, presbycusis and noise induced hearing loss are noted separately. It might be </w:t>
            </w:r>
            <w:r>
              <w:rPr>
                <w:rFonts w:ascii="Century Gothic" w:hAnsi="Century Gothic" w:cs="Calibri"/>
                <w:sz w:val="22"/>
                <w:szCs w:val="22"/>
              </w:rPr>
              <w:t>helpful</w:t>
            </w:r>
            <w:r w:rsidRPr="00EF2937">
              <w:rPr>
                <w:rFonts w:ascii="Century Gothic" w:hAnsi="Century Gothic" w:cs="Calibri"/>
                <w:sz w:val="22"/>
                <w:szCs w:val="22"/>
              </w:rPr>
              <w:t xml:space="preserve"> to note hearing loss and include examples next to it instead.  </w:t>
            </w:r>
          </w:p>
        </w:tc>
        <w:tc>
          <w:tcPr>
            <w:tcW w:w="4252" w:type="dxa"/>
            <w:tcBorders>
              <w:top w:val="nil"/>
              <w:left w:val="nil"/>
              <w:bottom w:val="single" w:sz="4" w:space="0" w:color="auto"/>
              <w:right w:val="single" w:sz="4" w:space="0" w:color="auto"/>
            </w:tcBorders>
            <w:shd w:val="clear" w:color="auto" w:fill="auto"/>
            <w:noWrap/>
          </w:tcPr>
          <w:p w14:paraId="2CA524E4" w14:textId="77777777" w:rsidR="00354C9B" w:rsidRDefault="00354C9B" w:rsidP="00354C9B">
            <w:pPr>
              <w:rPr>
                <w:rFonts w:ascii="Century Gothic" w:hAnsi="Century Gothic" w:cs="Calibri"/>
                <w:color w:val="000000"/>
                <w:sz w:val="22"/>
                <w:szCs w:val="22"/>
              </w:rPr>
            </w:pPr>
            <w:r w:rsidRPr="00EF2937">
              <w:rPr>
                <w:rFonts w:ascii="Century Gothic" w:hAnsi="Century Gothic" w:cs="Calibri"/>
                <w:color w:val="000000"/>
                <w:sz w:val="22"/>
                <w:szCs w:val="22"/>
              </w:rPr>
              <w:t xml:space="preserve">Consider </w:t>
            </w:r>
            <w:r>
              <w:rPr>
                <w:rFonts w:ascii="Century Gothic" w:hAnsi="Century Gothic" w:cs="Calibri"/>
                <w:color w:val="000000"/>
                <w:sz w:val="22"/>
                <w:szCs w:val="22"/>
              </w:rPr>
              <w:t xml:space="preserve">using </w:t>
            </w:r>
          </w:p>
          <w:p w14:paraId="7740EA1E" w14:textId="77777777" w:rsidR="00354C9B" w:rsidRDefault="00354C9B" w:rsidP="00354C9B">
            <w:pPr>
              <w:rPr>
                <w:rFonts w:ascii="Century Gothic" w:hAnsi="Century Gothic" w:cs="Calibri"/>
                <w:color w:val="000000"/>
                <w:sz w:val="22"/>
                <w:szCs w:val="22"/>
              </w:rPr>
            </w:pPr>
          </w:p>
          <w:p w14:paraId="013F831F" w14:textId="7C95E9AA" w:rsidR="00354C9B" w:rsidRPr="00EF2937" w:rsidRDefault="00354C9B" w:rsidP="00354C9B">
            <w:pPr>
              <w:rPr>
                <w:rFonts w:ascii="Century Gothic" w:hAnsi="Century Gothic" w:cs="Calibri"/>
                <w:sz w:val="22"/>
                <w:szCs w:val="22"/>
              </w:rPr>
            </w:pPr>
            <w:r w:rsidRPr="00EF2937">
              <w:rPr>
                <w:rFonts w:ascii="Century Gothic" w:hAnsi="Century Gothic" w:cs="Calibri"/>
                <w:color w:val="000000"/>
                <w:sz w:val="22"/>
                <w:szCs w:val="22"/>
              </w:rPr>
              <w:t xml:space="preserve">“Hearing loss – </w:t>
            </w:r>
            <w:r>
              <w:rPr>
                <w:rFonts w:ascii="Century Gothic" w:hAnsi="Century Gothic" w:cs="Calibri"/>
                <w:color w:val="000000"/>
                <w:sz w:val="22"/>
                <w:szCs w:val="22"/>
              </w:rPr>
              <w:t xml:space="preserve">e.g. </w:t>
            </w:r>
            <w:r w:rsidRPr="00EF2937">
              <w:rPr>
                <w:rFonts w:ascii="Century Gothic" w:hAnsi="Century Gothic" w:cs="Calibri"/>
                <w:sz w:val="22"/>
                <w:szCs w:val="22"/>
              </w:rPr>
              <w:t>presbycusis, noise induced and other causes”</w:t>
            </w:r>
          </w:p>
          <w:p w14:paraId="11CC42DF" w14:textId="77777777" w:rsidR="00354C9B" w:rsidRPr="00EF2937" w:rsidRDefault="00354C9B" w:rsidP="00354C9B">
            <w:pPr>
              <w:rPr>
                <w:rFonts w:ascii="Century Gothic" w:hAnsi="Century Gothic" w:cs="Calibri"/>
                <w:color w:val="000000"/>
                <w:sz w:val="22"/>
                <w:szCs w:val="22"/>
              </w:rPr>
            </w:pPr>
          </w:p>
        </w:tc>
      </w:tr>
      <w:tr w:rsidR="00354C9B" w:rsidRPr="00EF2937" w14:paraId="17455D54"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389B6B08" w14:textId="0D209070"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Table 3.2</w:t>
            </w:r>
          </w:p>
        </w:tc>
        <w:tc>
          <w:tcPr>
            <w:tcW w:w="1468" w:type="dxa"/>
            <w:tcBorders>
              <w:top w:val="nil"/>
              <w:left w:val="nil"/>
              <w:bottom w:val="single" w:sz="4" w:space="0" w:color="auto"/>
              <w:right w:val="single" w:sz="4" w:space="0" w:color="auto"/>
            </w:tcBorders>
            <w:shd w:val="clear" w:color="auto" w:fill="auto"/>
            <w:noWrap/>
          </w:tcPr>
          <w:p w14:paraId="3D65E633" w14:textId="77777777" w:rsidR="00354C9B" w:rsidRPr="00EF2937" w:rsidRDefault="00354C9B" w:rsidP="00354C9B">
            <w:pPr>
              <w:rPr>
                <w:rFonts w:ascii="Century Gothic" w:hAnsi="Century Gothic" w:cs="Calibri"/>
                <w:sz w:val="22"/>
                <w:szCs w:val="22"/>
              </w:rPr>
            </w:pPr>
          </w:p>
        </w:tc>
        <w:tc>
          <w:tcPr>
            <w:tcW w:w="2324" w:type="dxa"/>
            <w:tcBorders>
              <w:top w:val="nil"/>
              <w:left w:val="nil"/>
              <w:bottom w:val="single" w:sz="4" w:space="0" w:color="auto"/>
              <w:right w:val="single" w:sz="4" w:space="0" w:color="auto"/>
            </w:tcBorders>
            <w:shd w:val="clear" w:color="auto" w:fill="auto"/>
          </w:tcPr>
          <w:p w14:paraId="093D19A2" w14:textId="77777777" w:rsidR="00354C9B" w:rsidRPr="00EF2937" w:rsidRDefault="00354C9B" w:rsidP="00354C9B">
            <w:pPr>
              <w:rPr>
                <w:rFonts w:ascii="Century Gothic" w:hAnsi="Century Gothic" w:cs="Calibri"/>
                <w:sz w:val="22"/>
                <w:szCs w:val="22"/>
              </w:rPr>
            </w:pPr>
          </w:p>
        </w:tc>
        <w:tc>
          <w:tcPr>
            <w:tcW w:w="4622" w:type="dxa"/>
            <w:tcBorders>
              <w:top w:val="nil"/>
              <w:left w:val="nil"/>
              <w:bottom w:val="single" w:sz="4" w:space="0" w:color="auto"/>
              <w:right w:val="single" w:sz="4" w:space="0" w:color="auto"/>
            </w:tcBorders>
            <w:shd w:val="clear" w:color="auto" w:fill="auto"/>
          </w:tcPr>
          <w:p w14:paraId="0B40C403" w14:textId="1D1B71A6" w:rsidR="00354C9B" w:rsidRDefault="00C5640F" w:rsidP="00354C9B">
            <w:pPr>
              <w:rPr>
                <w:rFonts w:ascii="Century Gothic" w:hAnsi="Century Gothic" w:cs="Calibri"/>
                <w:sz w:val="22"/>
                <w:szCs w:val="22"/>
              </w:rPr>
            </w:pPr>
            <w:r>
              <w:rPr>
                <w:rFonts w:ascii="Century Gothic" w:hAnsi="Century Gothic" w:cs="Calibri"/>
                <w:sz w:val="22"/>
                <w:szCs w:val="22"/>
              </w:rPr>
              <w:t>We appreciate the table is for primary care, but different professional groups work in primary care settings. The table should therefore include:</w:t>
            </w:r>
          </w:p>
          <w:p w14:paraId="40E3ACC5" w14:textId="77777777" w:rsidR="00C5640F" w:rsidRPr="00EF2937" w:rsidRDefault="00C5640F" w:rsidP="00354C9B">
            <w:pPr>
              <w:rPr>
                <w:rFonts w:ascii="Century Gothic" w:hAnsi="Century Gothic" w:cs="Calibri"/>
                <w:sz w:val="22"/>
                <w:szCs w:val="22"/>
              </w:rPr>
            </w:pPr>
          </w:p>
          <w:p w14:paraId="2116B2E2" w14:textId="2BF258AE"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 xml:space="preserve">BSHAA guideline, this should be included </w:t>
            </w:r>
          </w:p>
          <w:p w14:paraId="44DDF695" w14:textId="5066266C" w:rsidR="00354C9B" w:rsidRPr="00EF2937" w:rsidRDefault="00354C9B" w:rsidP="00354C9B">
            <w:pPr>
              <w:rPr>
                <w:rFonts w:ascii="Century Gothic" w:hAnsi="Century Gothic"/>
                <w:sz w:val="22"/>
                <w:szCs w:val="22"/>
              </w:rPr>
            </w:pPr>
            <w:hyperlink r:id="rId10" w:history="1">
              <w:r w:rsidRPr="00EF2937">
                <w:rPr>
                  <w:rStyle w:val="Hyperlink"/>
                  <w:rFonts w:ascii="Century Gothic" w:hAnsi="Century Gothic"/>
                  <w:sz w:val="22"/>
                  <w:szCs w:val="22"/>
                </w:rPr>
                <w:t>https://www.bshaa.com/News/updated-guidance-on-onward-referral</w:t>
              </w:r>
            </w:hyperlink>
          </w:p>
          <w:p w14:paraId="79DCEC80" w14:textId="77777777" w:rsidR="00354C9B" w:rsidRPr="00EF2937" w:rsidRDefault="00354C9B" w:rsidP="00354C9B">
            <w:pPr>
              <w:rPr>
                <w:rFonts w:ascii="Century Gothic" w:hAnsi="Century Gothic"/>
                <w:sz w:val="22"/>
                <w:szCs w:val="22"/>
              </w:rPr>
            </w:pPr>
          </w:p>
          <w:p w14:paraId="71814F66" w14:textId="4349934C"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BMJ guidance on tinnitus and this is likely to be a useful resource for GPs</w:t>
            </w:r>
          </w:p>
          <w:p w14:paraId="40E9C4D6" w14:textId="7967D5A2" w:rsidR="00354C9B" w:rsidRPr="00EF2937" w:rsidRDefault="00354C9B" w:rsidP="00354C9B">
            <w:pPr>
              <w:rPr>
                <w:rFonts w:ascii="Century Gothic" w:hAnsi="Century Gothic"/>
                <w:sz w:val="22"/>
                <w:szCs w:val="22"/>
              </w:rPr>
            </w:pPr>
            <w:hyperlink r:id="rId11" w:history="1">
              <w:r w:rsidRPr="00EF2937">
                <w:rPr>
                  <w:rStyle w:val="Hyperlink"/>
                  <w:rFonts w:ascii="Century Gothic" w:hAnsi="Century Gothic"/>
                  <w:sz w:val="22"/>
                  <w:szCs w:val="22"/>
                </w:rPr>
                <w:t>https://bestpractice.bmj.com/topics/en-gb/364</w:t>
              </w:r>
            </w:hyperlink>
          </w:p>
          <w:p w14:paraId="7A3B98B1" w14:textId="77777777" w:rsidR="00354C9B" w:rsidRPr="00EF2937" w:rsidRDefault="00354C9B" w:rsidP="00354C9B">
            <w:pPr>
              <w:rPr>
                <w:rFonts w:ascii="Century Gothic" w:hAnsi="Century Gothic" w:cs="Calibri"/>
                <w:sz w:val="22"/>
                <w:szCs w:val="22"/>
              </w:rPr>
            </w:pPr>
          </w:p>
          <w:p w14:paraId="080D0CEF" w14:textId="7ED94D8E" w:rsidR="00354C9B" w:rsidRPr="00EF2937" w:rsidRDefault="00354C9B" w:rsidP="00354C9B">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77B5DF53" w14:textId="49DD11EC" w:rsidR="00354C9B" w:rsidRPr="00EF2937" w:rsidRDefault="00354C9B" w:rsidP="00354C9B">
            <w:pPr>
              <w:rPr>
                <w:rFonts w:ascii="Century Gothic" w:hAnsi="Century Gothic" w:cs="Calibri"/>
                <w:color w:val="000000"/>
                <w:sz w:val="22"/>
                <w:szCs w:val="22"/>
              </w:rPr>
            </w:pPr>
            <w:r w:rsidRPr="00EF2937">
              <w:rPr>
                <w:rFonts w:ascii="Century Gothic" w:hAnsi="Century Gothic" w:cs="Calibri"/>
                <w:color w:val="000000"/>
                <w:sz w:val="22"/>
                <w:szCs w:val="22"/>
              </w:rPr>
              <w:t xml:space="preserve">Include the BSHAA and BMJ guidance in table 3.2 </w:t>
            </w:r>
          </w:p>
        </w:tc>
      </w:tr>
      <w:tr w:rsidR="00354C9B" w:rsidRPr="00EF2937" w14:paraId="3D1B13B2"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hideMark/>
          </w:tcPr>
          <w:p w14:paraId="50477B4E" w14:textId="6C6B056E"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5.1.1</w:t>
            </w:r>
          </w:p>
        </w:tc>
        <w:tc>
          <w:tcPr>
            <w:tcW w:w="1468" w:type="dxa"/>
            <w:tcBorders>
              <w:top w:val="nil"/>
              <w:left w:val="nil"/>
              <w:bottom w:val="single" w:sz="4" w:space="0" w:color="auto"/>
              <w:right w:val="single" w:sz="4" w:space="0" w:color="auto"/>
            </w:tcBorders>
            <w:shd w:val="clear" w:color="auto" w:fill="auto"/>
            <w:noWrap/>
            <w:hideMark/>
          </w:tcPr>
          <w:p w14:paraId="61523F51" w14:textId="5934C09F"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318 </w:t>
            </w:r>
          </w:p>
        </w:tc>
        <w:tc>
          <w:tcPr>
            <w:tcW w:w="2324" w:type="dxa"/>
            <w:tcBorders>
              <w:top w:val="nil"/>
              <w:left w:val="nil"/>
              <w:bottom w:val="single" w:sz="4" w:space="0" w:color="auto"/>
              <w:right w:val="single" w:sz="4" w:space="0" w:color="auto"/>
            </w:tcBorders>
            <w:shd w:val="clear" w:color="auto" w:fill="auto"/>
            <w:hideMark/>
          </w:tcPr>
          <w:p w14:paraId="2B53FA6B" w14:textId="1E53ED12" w:rsidR="00354C9B" w:rsidRPr="00EF2937" w:rsidRDefault="00DF058C" w:rsidP="00354C9B">
            <w:pPr>
              <w:rPr>
                <w:rFonts w:ascii="Century Gothic" w:hAnsi="Century Gothic" w:cs="Calibri"/>
                <w:sz w:val="22"/>
                <w:szCs w:val="22"/>
              </w:rPr>
            </w:pPr>
            <w:r>
              <w:rPr>
                <w:rFonts w:ascii="Century Gothic" w:hAnsi="Century Gothic" w:cs="Calibri"/>
                <w:sz w:val="22"/>
                <w:szCs w:val="22"/>
              </w:rPr>
              <w:t xml:space="preserve">Recommendations for pulsatile tinnitus </w:t>
            </w:r>
          </w:p>
        </w:tc>
        <w:tc>
          <w:tcPr>
            <w:tcW w:w="4622" w:type="dxa"/>
            <w:tcBorders>
              <w:top w:val="nil"/>
              <w:left w:val="nil"/>
              <w:bottom w:val="single" w:sz="4" w:space="0" w:color="auto"/>
              <w:right w:val="single" w:sz="4" w:space="0" w:color="auto"/>
            </w:tcBorders>
            <w:shd w:val="clear" w:color="auto" w:fill="auto"/>
            <w:hideMark/>
          </w:tcPr>
          <w:p w14:paraId="1421F87E" w14:textId="08D811F4" w:rsidR="00354C9B" w:rsidRPr="00DF058C" w:rsidRDefault="00DF058C" w:rsidP="00354C9B">
            <w:pPr>
              <w:rPr>
                <w:rFonts w:ascii="Century Gothic" w:hAnsi="Century Gothic"/>
              </w:rPr>
            </w:pPr>
            <w:r w:rsidRPr="00DF058C">
              <w:rPr>
                <w:rFonts w:ascii="Century Gothic" w:hAnsi="Century Gothic" w:cs="Calibri"/>
                <w:sz w:val="22"/>
                <w:szCs w:val="22"/>
              </w:rPr>
              <w:t xml:space="preserve">It would be helpful to check this against the final NICE guideline, </w:t>
            </w:r>
            <w:hyperlink r:id="rId12" w:history="1">
              <w:r w:rsidRPr="00DF058C">
                <w:rPr>
                  <w:rStyle w:val="Hyperlink"/>
                  <w:rFonts w:ascii="Century Gothic" w:hAnsi="Century Gothic" w:cs="Calibri"/>
                  <w:sz w:val="22"/>
                  <w:szCs w:val="22"/>
                </w:rPr>
                <w:t>Tinnitus: assessment and management</w:t>
              </w:r>
            </w:hyperlink>
            <w:r>
              <w:rPr>
                <w:rStyle w:val="Hyperlink"/>
                <w:rFonts w:ascii="Century Gothic" w:hAnsi="Century Gothic" w:cs="Calibri"/>
                <w:sz w:val="22"/>
                <w:szCs w:val="22"/>
              </w:rPr>
              <w:t xml:space="preserve"> </w:t>
            </w:r>
            <w:r w:rsidRPr="00DF058C">
              <w:rPr>
                <w:rFonts w:ascii="Century Gothic" w:hAnsi="Century Gothic"/>
                <w:sz w:val="22"/>
                <w:szCs w:val="22"/>
              </w:rPr>
              <w:t>to ensure there is consistency</w:t>
            </w:r>
            <w:r w:rsidRPr="00DF058C">
              <w:rPr>
                <w:rFonts w:ascii="Century Gothic" w:hAnsi="Century Gothic"/>
              </w:rPr>
              <w:t xml:space="preserve"> </w:t>
            </w:r>
          </w:p>
          <w:p w14:paraId="4FBA953D" w14:textId="5755DD91" w:rsidR="00DF058C" w:rsidRPr="00DF058C" w:rsidRDefault="00DF058C" w:rsidP="00354C9B">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hideMark/>
          </w:tcPr>
          <w:p w14:paraId="43FC321B" w14:textId="79B75FDD" w:rsidR="00354C9B" w:rsidRPr="00EF2937" w:rsidRDefault="00354C9B" w:rsidP="00354C9B">
            <w:pPr>
              <w:rPr>
                <w:rFonts w:ascii="Century Gothic" w:hAnsi="Century Gothic" w:cs="Calibri"/>
                <w:color w:val="000000"/>
                <w:sz w:val="22"/>
                <w:szCs w:val="22"/>
              </w:rPr>
            </w:pPr>
          </w:p>
        </w:tc>
      </w:tr>
      <w:tr w:rsidR="00354C9B" w:rsidRPr="00EF2937" w14:paraId="52C26DD9"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63F932E5" w14:textId="2E98468C"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5.1.3</w:t>
            </w:r>
          </w:p>
        </w:tc>
        <w:tc>
          <w:tcPr>
            <w:tcW w:w="1468" w:type="dxa"/>
            <w:tcBorders>
              <w:top w:val="nil"/>
              <w:left w:val="nil"/>
              <w:bottom w:val="single" w:sz="4" w:space="0" w:color="auto"/>
              <w:right w:val="single" w:sz="4" w:space="0" w:color="auto"/>
            </w:tcBorders>
            <w:shd w:val="clear" w:color="auto" w:fill="auto"/>
            <w:noWrap/>
          </w:tcPr>
          <w:p w14:paraId="6A2275D9" w14:textId="5B11907B"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322-329</w:t>
            </w:r>
          </w:p>
        </w:tc>
        <w:tc>
          <w:tcPr>
            <w:tcW w:w="2324" w:type="dxa"/>
            <w:tcBorders>
              <w:top w:val="nil"/>
              <w:left w:val="nil"/>
              <w:bottom w:val="single" w:sz="4" w:space="0" w:color="auto"/>
              <w:right w:val="single" w:sz="4" w:space="0" w:color="auto"/>
            </w:tcBorders>
            <w:shd w:val="clear" w:color="auto" w:fill="auto"/>
          </w:tcPr>
          <w:p w14:paraId="470FECEF" w14:textId="178AE51F" w:rsidR="00354C9B" w:rsidRPr="00EF2937" w:rsidRDefault="00DF058C" w:rsidP="00354C9B">
            <w:pPr>
              <w:rPr>
                <w:rFonts w:ascii="Century Gothic" w:hAnsi="Century Gothic" w:cs="Calibri"/>
                <w:sz w:val="22"/>
                <w:szCs w:val="22"/>
              </w:rPr>
            </w:pPr>
            <w:r>
              <w:rPr>
                <w:rFonts w:ascii="Century Gothic" w:hAnsi="Century Gothic" w:cs="Calibri"/>
                <w:sz w:val="22"/>
                <w:szCs w:val="22"/>
              </w:rPr>
              <w:t>Recommendations for managing urgent signs/symptoms</w:t>
            </w:r>
          </w:p>
        </w:tc>
        <w:tc>
          <w:tcPr>
            <w:tcW w:w="4622" w:type="dxa"/>
            <w:tcBorders>
              <w:top w:val="nil"/>
              <w:left w:val="nil"/>
              <w:bottom w:val="single" w:sz="4" w:space="0" w:color="auto"/>
              <w:right w:val="single" w:sz="4" w:space="0" w:color="auto"/>
            </w:tcBorders>
            <w:shd w:val="clear" w:color="auto" w:fill="auto"/>
          </w:tcPr>
          <w:p w14:paraId="49016444" w14:textId="38F6058B" w:rsidR="00354C9B" w:rsidRPr="00DF058C" w:rsidRDefault="00DF058C" w:rsidP="00354C9B">
            <w:pPr>
              <w:rPr>
                <w:rFonts w:ascii="Century Gothic" w:hAnsi="Century Gothic"/>
              </w:rPr>
            </w:pPr>
            <w:r w:rsidRPr="00DF058C">
              <w:rPr>
                <w:rFonts w:ascii="Century Gothic" w:hAnsi="Century Gothic" w:cs="Calibri"/>
                <w:sz w:val="22"/>
                <w:szCs w:val="22"/>
              </w:rPr>
              <w:t xml:space="preserve">It would be helpful to check this against the final NICE guideline, </w:t>
            </w:r>
            <w:hyperlink r:id="rId13" w:history="1">
              <w:r w:rsidRPr="00DF058C">
                <w:rPr>
                  <w:rStyle w:val="Hyperlink"/>
                  <w:rFonts w:ascii="Century Gothic" w:hAnsi="Century Gothic" w:cs="Calibri"/>
                  <w:sz w:val="22"/>
                  <w:szCs w:val="22"/>
                </w:rPr>
                <w:t>Tinnitus: assessment and management</w:t>
              </w:r>
            </w:hyperlink>
            <w:r>
              <w:rPr>
                <w:rStyle w:val="Hyperlink"/>
                <w:rFonts w:ascii="Century Gothic" w:hAnsi="Century Gothic" w:cs="Calibri"/>
                <w:sz w:val="22"/>
                <w:szCs w:val="22"/>
              </w:rPr>
              <w:t xml:space="preserve"> </w:t>
            </w:r>
            <w:r w:rsidRPr="00DF058C">
              <w:rPr>
                <w:rFonts w:ascii="Century Gothic" w:hAnsi="Century Gothic"/>
                <w:sz w:val="22"/>
                <w:szCs w:val="22"/>
              </w:rPr>
              <w:t>to ensure there is consistenc</w:t>
            </w:r>
            <w:r>
              <w:rPr>
                <w:rFonts w:ascii="Century Gothic" w:hAnsi="Century Gothic"/>
                <w:sz w:val="22"/>
                <w:szCs w:val="22"/>
              </w:rPr>
              <w:t xml:space="preserve">y, especially in terms of referral timelines which are very specific in the NICE guideline  </w:t>
            </w:r>
          </w:p>
        </w:tc>
        <w:tc>
          <w:tcPr>
            <w:tcW w:w="4252" w:type="dxa"/>
            <w:tcBorders>
              <w:top w:val="nil"/>
              <w:left w:val="nil"/>
              <w:bottom w:val="single" w:sz="4" w:space="0" w:color="auto"/>
              <w:right w:val="single" w:sz="4" w:space="0" w:color="auto"/>
            </w:tcBorders>
            <w:shd w:val="clear" w:color="auto" w:fill="auto"/>
            <w:noWrap/>
          </w:tcPr>
          <w:p w14:paraId="55705D91" w14:textId="77777777" w:rsidR="00354C9B" w:rsidRPr="00EF2937" w:rsidRDefault="00354C9B" w:rsidP="00354C9B">
            <w:pPr>
              <w:rPr>
                <w:rFonts w:ascii="Century Gothic" w:hAnsi="Century Gothic" w:cs="Calibri"/>
                <w:color w:val="000000"/>
                <w:sz w:val="22"/>
                <w:szCs w:val="22"/>
              </w:rPr>
            </w:pPr>
          </w:p>
        </w:tc>
      </w:tr>
      <w:tr w:rsidR="00354C9B" w:rsidRPr="00EF2937" w14:paraId="524E4DBF"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42090BCF" w14:textId="0A0B85DD"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5.1.3</w:t>
            </w:r>
          </w:p>
        </w:tc>
        <w:tc>
          <w:tcPr>
            <w:tcW w:w="1468" w:type="dxa"/>
            <w:tcBorders>
              <w:top w:val="nil"/>
              <w:left w:val="nil"/>
              <w:bottom w:val="single" w:sz="4" w:space="0" w:color="auto"/>
              <w:right w:val="single" w:sz="4" w:space="0" w:color="auto"/>
            </w:tcBorders>
            <w:shd w:val="clear" w:color="auto" w:fill="auto"/>
            <w:noWrap/>
          </w:tcPr>
          <w:p w14:paraId="7016D68B" w14:textId="066C3CA5"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330-336</w:t>
            </w:r>
          </w:p>
        </w:tc>
        <w:tc>
          <w:tcPr>
            <w:tcW w:w="2324" w:type="dxa"/>
            <w:tcBorders>
              <w:top w:val="nil"/>
              <w:left w:val="nil"/>
              <w:bottom w:val="single" w:sz="4" w:space="0" w:color="auto"/>
              <w:right w:val="single" w:sz="4" w:space="0" w:color="auto"/>
            </w:tcBorders>
            <w:shd w:val="clear" w:color="auto" w:fill="auto"/>
          </w:tcPr>
          <w:p w14:paraId="3731843D" w14:textId="0B723E83" w:rsidR="00354C9B" w:rsidRPr="00EF2937" w:rsidRDefault="00354C9B" w:rsidP="00354C9B">
            <w:pPr>
              <w:rPr>
                <w:rFonts w:ascii="Century Gothic" w:hAnsi="Century Gothic" w:cs="Calibri"/>
                <w:sz w:val="22"/>
                <w:szCs w:val="22"/>
              </w:rPr>
            </w:pPr>
          </w:p>
        </w:tc>
        <w:tc>
          <w:tcPr>
            <w:tcW w:w="4622" w:type="dxa"/>
            <w:tcBorders>
              <w:top w:val="nil"/>
              <w:left w:val="nil"/>
              <w:bottom w:val="single" w:sz="4" w:space="0" w:color="auto"/>
              <w:right w:val="single" w:sz="4" w:space="0" w:color="auto"/>
            </w:tcBorders>
            <w:shd w:val="clear" w:color="auto" w:fill="auto"/>
          </w:tcPr>
          <w:p w14:paraId="2CBCAB65" w14:textId="631A8D36" w:rsidR="00DF058C" w:rsidRDefault="00DF058C" w:rsidP="00DF058C">
            <w:pPr>
              <w:rPr>
                <w:rFonts w:ascii="Century Gothic" w:hAnsi="Century Gothic"/>
              </w:rPr>
            </w:pPr>
            <w:r w:rsidRPr="00DF058C">
              <w:rPr>
                <w:rFonts w:ascii="Century Gothic" w:hAnsi="Century Gothic" w:cs="Calibri"/>
                <w:sz w:val="22"/>
                <w:szCs w:val="22"/>
              </w:rPr>
              <w:t xml:space="preserve">It would be helpful to check this against the final NICE guideline, </w:t>
            </w:r>
            <w:hyperlink r:id="rId14" w:history="1">
              <w:r w:rsidRPr="00DF058C">
                <w:rPr>
                  <w:rStyle w:val="Hyperlink"/>
                  <w:rFonts w:ascii="Century Gothic" w:hAnsi="Century Gothic" w:cs="Calibri"/>
                  <w:sz w:val="22"/>
                  <w:szCs w:val="22"/>
                </w:rPr>
                <w:t xml:space="preserve">Tinnitus: </w:t>
              </w:r>
              <w:r w:rsidRPr="00DF058C">
                <w:rPr>
                  <w:rStyle w:val="Hyperlink"/>
                  <w:rFonts w:ascii="Century Gothic" w:hAnsi="Century Gothic" w:cs="Calibri"/>
                  <w:sz w:val="22"/>
                  <w:szCs w:val="22"/>
                </w:rPr>
                <w:lastRenderedPageBreak/>
                <w:t>assessment and management</w:t>
              </w:r>
            </w:hyperlink>
            <w:r>
              <w:rPr>
                <w:rStyle w:val="Hyperlink"/>
                <w:rFonts w:ascii="Century Gothic" w:hAnsi="Century Gothic" w:cs="Calibri"/>
                <w:sz w:val="22"/>
                <w:szCs w:val="22"/>
              </w:rPr>
              <w:t xml:space="preserve"> </w:t>
            </w:r>
            <w:r w:rsidRPr="00DF058C">
              <w:rPr>
                <w:rFonts w:ascii="Century Gothic" w:hAnsi="Century Gothic"/>
                <w:sz w:val="22"/>
                <w:szCs w:val="22"/>
              </w:rPr>
              <w:t>to ensure there is consistency</w:t>
            </w:r>
            <w:r w:rsidRPr="00DF058C">
              <w:rPr>
                <w:rFonts w:ascii="Century Gothic" w:hAnsi="Century Gothic"/>
              </w:rPr>
              <w:t xml:space="preserve"> </w:t>
            </w:r>
          </w:p>
          <w:p w14:paraId="0CA82F54" w14:textId="2B2C73C5" w:rsidR="00DF058C" w:rsidRDefault="00DF058C" w:rsidP="00DF058C">
            <w:pPr>
              <w:rPr>
                <w:rFonts w:ascii="Century Gothic" w:hAnsi="Century Gothic"/>
              </w:rPr>
            </w:pPr>
          </w:p>
          <w:p w14:paraId="636226A1" w14:textId="461A3407" w:rsidR="00DF058C" w:rsidRPr="00DF058C" w:rsidRDefault="00DF058C" w:rsidP="00DF058C">
            <w:pPr>
              <w:rPr>
                <w:rFonts w:ascii="Century Gothic" w:hAnsi="Century Gothic"/>
                <w:sz w:val="22"/>
                <w:szCs w:val="22"/>
              </w:rPr>
            </w:pPr>
            <w:r w:rsidRPr="00DF058C">
              <w:rPr>
                <w:rFonts w:ascii="Century Gothic" w:hAnsi="Century Gothic"/>
                <w:sz w:val="22"/>
                <w:szCs w:val="22"/>
              </w:rPr>
              <w:t xml:space="preserve">It is also important to </w:t>
            </w:r>
            <w:r>
              <w:rPr>
                <w:rFonts w:ascii="Century Gothic" w:hAnsi="Century Gothic"/>
                <w:sz w:val="22"/>
                <w:szCs w:val="22"/>
              </w:rPr>
              <w:t xml:space="preserve">assess this against the NICE guideline NG98 </w:t>
            </w:r>
          </w:p>
          <w:p w14:paraId="01AAE7D0" w14:textId="764ABA32" w:rsidR="00354C9B" w:rsidRPr="00EF2937" w:rsidRDefault="00354C9B" w:rsidP="00354C9B">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148BCD43" w14:textId="77777777" w:rsidR="00354C9B" w:rsidRPr="00EF2937" w:rsidRDefault="00354C9B" w:rsidP="00354C9B">
            <w:pPr>
              <w:rPr>
                <w:rFonts w:ascii="Century Gothic" w:hAnsi="Century Gothic" w:cs="Calibri"/>
                <w:color w:val="000000"/>
                <w:sz w:val="22"/>
                <w:szCs w:val="22"/>
              </w:rPr>
            </w:pPr>
          </w:p>
        </w:tc>
      </w:tr>
      <w:tr w:rsidR="00354C9B" w:rsidRPr="00EF2937" w14:paraId="500D11F2"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3D77967F" w14:textId="166751CC"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5.1.3</w:t>
            </w:r>
          </w:p>
        </w:tc>
        <w:tc>
          <w:tcPr>
            <w:tcW w:w="1468" w:type="dxa"/>
            <w:tcBorders>
              <w:top w:val="nil"/>
              <w:left w:val="nil"/>
              <w:bottom w:val="single" w:sz="4" w:space="0" w:color="auto"/>
              <w:right w:val="single" w:sz="4" w:space="0" w:color="auto"/>
            </w:tcBorders>
            <w:shd w:val="clear" w:color="auto" w:fill="auto"/>
            <w:noWrap/>
          </w:tcPr>
          <w:p w14:paraId="2FD549E0" w14:textId="4B04D990"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334</w:t>
            </w:r>
          </w:p>
        </w:tc>
        <w:tc>
          <w:tcPr>
            <w:tcW w:w="2324" w:type="dxa"/>
            <w:tcBorders>
              <w:top w:val="nil"/>
              <w:left w:val="nil"/>
              <w:bottom w:val="single" w:sz="4" w:space="0" w:color="auto"/>
              <w:right w:val="single" w:sz="4" w:space="0" w:color="auto"/>
            </w:tcBorders>
            <w:shd w:val="clear" w:color="auto" w:fill="auto"/>
          </w:tcPr>
          <w:p w14:paraId="7B945AB5" w14:textId="5DA5866F"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Tinnitus in association with asymmetric hearing loss</w:t>
            </w:r>
          </w:p>
          <w:p w14:paraId="247FD1A5" w14:textId="77777777" w:rsidR="00354C9B" w:rsidRPr="00EF2937" w:rsidRDefault="00354C9B" w:rsidP="00354C9B">
            <w:pPr>
              <w:rPr>
                <w:rFonts w:ascii="Century Gothic" w:hAnsi="Century Gothic" w:cs="Calibri"/>
                <w:sz w:val="22"/>
                <w:szCs w:val="22"/>
              </w:rPr>
            </w:pPr>
          </w:p>
        </w:tc>
        <w:tc>
          <w:tcPr>
            <w:tcW w:w="4622" w:type="dxa"/>
            <w:tcBorders>
              <w:top w:val="nil"/>
              <w:left w:val="nil"/>
              <w:bottom w:val="single" w:sz="4" w:space="0" w:color="auto"/>
              <w:right w:val="single" w:sz="4" w:space="0" w:color="auto"/>
            </w:tcBorders>
            <w:shd w:val="clear" w:color="auto" w:fill="auto"/>
          </w:tcPr>
          <w:p w14:paraId="5B9D2617" w14:textId="77777777" w:rsidR="00DF058C" w:rsidRDefault="00354C9B" w:rsidP="00354C9B">
            <w:pPr>
              <w:rPr>
                <w:rFonts w:ascii="Century Gothic" w:hAnsi="Century Gothic" w:cs="Calibri"/>
                <w:sz w:val="22"/>
                <w:szCs w:val="22"/>
              </w:rPr>
            </w:pPr>
            <w:r w:rsidRPr="00EF2937">
              <w:rPr>
                <w:rFonts w:ascii="Century Gothic" w:hAnsi="Century Gothic" w:cs="Calibri"/>
                <w:sz w:val="22"/>
                <w:szCs w:val="22"/>
              </w:rPr>
              <w:t xml:space="preserve">This needs clarification to avoid false positive referrals and </w:t>
            </w:r>
            <w:r w:rsidR="00DF058C">
              <w:rPr>
                <w:rFonts w:ascii="Century Gothic" w:hAnsi="Century Gothic" w:cs="Calibri"/>
                <w:sz w:val="22"/>
                <w:szCs w:val="22"/>
              </w:rPr>
              <w:t xml:space="preserve">to ensure it is </w:t>
            </w:r>
            <w:r w:rsidRPr="00EF2937">
              <w:rPr>
                <w:rFonts w:ascii="Century Gothic" w:hAnsi="Century Gothic" w:cs="Calibri"/>
                <w:sz w:val="22"/>
                <w:szCs w:val="22"/>
              </w:rPr>
              <w:t>consistent with NICE guidelines (</w:t>
            </w:r>
            <w:r w:rsidR="00DF058C">
              <w:rPr>
                <w:rFonts w:ascii="Century Gothic" w:hAnsi="Century Gothic" w:cs="Calibri"/>
                <w:sz w:val="22"/>
                <w:szCs w:val="22"/>
              </w:rPr>
              <w:t xml:space="preserve">e.g. </w:t>
            </w:r>
            <w:r w:rsidRPr="00EF2937">
              <w:rPr>
                <w:rFonts w:ascii="Century Gothic" w:hAnsi="Century Gothic" w:cs="Calibri"/>
                <w:sz w:val="22"/>
                <w:szCs w:val="22"/>
              </w:rPr>
              <w:t>NG98), in the main to make clear this is referring to clinically significant asymmetric hearing loss</w:t>
            </w:r>
            <w:r w:rsidR="00DF058C">
              <w:rPr>
                <w:rFonts w:ascii="Century Gothic" w:hAnsi="Century Gothic" w:cs="Calibri"/>
                <w:sz w:val="22"/>
                <w:szCs w:val="22"/>
              </w:rPr>
              <w:t xml:space="preserve">. </w:t>
            </w:r>
          </w:p>
          <w:p w14:paraId="29F4F39D" w14:textId="77777777" w:rsidR="00DF058C" w:rsidRDefault="00DF058C" w:rsidP="00354C9B">
            <w:pPr>
              <w:rPr>
                <w:rFonts w:ascii="Century Gothic" w:hAnsi="Century Gothic" w:cs="Calibri"/>
                <w:sz w:val="22"/>
                <w:szCs w:val="22"/>
              </w:rPr>
            </w:pPr>
          </w:p>
          <w:p w14:paraId="18094C28" w14:textId="7A2820E3" w:rsidR="00354C9B" w:rsidRDefault="00DF058C" w:rsidP="00354C9B">
            <w:pPr>
              <w:rPr>
                <w:rFonts w:ascii="Century Gothic" w:hAnsi="Century Gothic" w:cs="Calibri"/>
                <w:sz w:val="22"/>
                <w:szCs w:val="22"/>
              </w:rPr>
            </w:pPr>
            <w:r>
              <w:rPr>
                <w:rFonts w:ascii="Century Gothic" w:hAnsi="Century Gothic" w:cs="Calibri"/>
                <w:sz w:val="22"/>
                <w:szCs w:val="22"/>
              </w:rPr>
              <w:t xml:space="preserve">This is especially important, as NICE acknowledged during its public consultation on guideline NG98, given most adults have some level of asymmetric hearing loss and if there are no other urgent signs/symptoms then adults can be referred to an audiologist (not specialist service) for an assessment to assess whether there is clinically significant asymmetric hearing loss. The NICE guideline NG98 also states asymmetric hearing loss as a primary concern for this reason. </w:t>
            </w:r>
          </w:p>
          <w:p w14:paraId="569A746B" w14:textId="3D5C467F" w:rsidR="00DF058C" w:rsidRPr="00EF2937" w:rsidRDefault="00DF058C" w:rsidP="00354C9B">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7E70FFAA" w14:textId="5B46310F" w:rsidR="00354C9B" w:rsidRPr="00EF2937" w:rsidRDefault="00DF058C" w:rsidP="00354C9B">
            <w:pPr>
              <w:rPr>
                <w:rFonts w:ascii="Century Gothic" w:hAnsi="Century Gothic" w:cs="Calibri"/>
                <w:color w:val="000000"/>
                <w:sz w:val="22"/>
                <w:szCs w:val="22"/>
              </w:rPr>
            </w:pPr>
            <w:r>
              <w:rPr>
                <w:rFonts w:ascii="Century Gothic" w:hAnsi="Century Gothic" w:cs="Calibri"/>
                <w:color w:val="000000"/>
                <w:sz w:val="22"/>
                <w:szCs w:val="22"/>
              </w:rPr>
              <w:t xml:space="preserve">Tinnitus in association with clinically significant asymmetric hearing loss </w:t>
            </w:r>
          </w:p>
        </w:tc>
      </w:tr>
      <w:tr w:rsidR="00354C9B" w:rsidRPr="00EF2937" w14:paraId="5C85DD27"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6FF08287" w14:textId="4B6BC8AC"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5.1.5</w:t>
            </w:r>
          </w:p>
        </w:tc>
        <w:tc>
          <w:tcPr>
            <w:tcW w:w="1468" w:type="dxa"/>
            <w:tcBorders>
              <w:top w:val="nil"/>
              <w:left w:val="nil"/>
              <w:bottom w:val="single" w:sz="4" w:space="0" w:color="auto"/>
              <w:right w:val="single" w:sz="4" w:space="0" w:color="auto"/>
            </w:tcBorders>
            <w:shd w:val="clear" w:color="auto" w:fill="auto"/>
            <w:noWrap/>
          </w:tcPr>
          <w:p w14:paraId="78CC72FF" w14:textId="35362B82"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353-358</w:t>
            </w:r>
          </w:p>
        </w:tc>
        <w:tc>
          <w:tcPr>
            <w:tcW w:w="2324" w:type="dxa"/>
            <w:tcBorders>
              <w:top w:val="nil"/>
              <w:left w:val="nil"/>
              <w:bottom w:val="single" w:sz="4" w:space="0" w:color="auto"/>
              <w:right w:val="single" w:sz="4" w:space="0" w:color="auto"/>
            </w:tcBorders>
            <w:shd w:val="clear" w:color="auto" w:fill="auto"/>
          </w:tcPr>
          <w:p w14:paraId="56648783" w14:textId="77777777" w:rsidR="00354C9B" w:rsidRPr="00EF2937" w:rsidRDefault="00354C9B" w:rsidP="00354C9B">
            <w:pPr>
              <w:pStyle w:val="NormalWeb"/>
              <w:rPr>
                <w:rFonts w:ascii="Century Gothic" w:hAnsi="Century Gothic"/>
                <w:sz w:val="22"/>
                <w:szCs w:val="22"/>
              </w:rPr>
            </w:pPr>
          </w:p>
        </w:tc>
        <w:tc>
          <w:tcPr>
            <w:tcW w:w="4622" w:type="dxa"/>
            <w:tcBorders>
              <w:top w:val="nil"/>
              <w:left w:val="nil"/>
              <w:bottom w:val="single" w:sz="4" w:space="0" w:color="auto"/>
              <w:right w:val="single" w:sz="4" w:space="0" w:color="auto"/>
            </w:tcBorders>
            <w:shd w:val="clear" w:color="auto" w:fill="auto"/>
          </w:tcPr>
          <w:p w14:paraId="69AF9590" w14:textId="2BD35E9D" w:rsidR="00354C9B" w:rsidRPr="00EF2937" w:rsidRDefault="0093505F" w:rsidP="00354C9B">
            <w:pPr>
              <w:rPr>
                <w:rFonts w:ascii="Century Gothic" w:hAnsi="Century Gothic" w:cs="Calibri"/>
                <w:sz w:val="22"/>
                <w:szCs w:val="22"/>
              </w:rPr>
            </w:pPr>
            <w:r>
              <w:rPr>
                <w:rFonts w:ascii="Century Gothic" w:hAnsi="Century Gothic" w:cs="Calibri"/>
                <w:sz w:val="22"/>
                <w:szCs w:val="22"/>
              </w:rPr>
              <w:t xml:space="preserve">The BSA might also want to recommend the final </w:t>
            </w:r>
            <w:r w:rsidR="00354C9B" w:rsidRPr="00EF2937">
              <w:rPr>
                <w:rFonts w:ascii="Century Gothic" w:hAnsi="Century Gothic" w:cs="Calibri"/>
                <w:sz w:val="22"/>
                <w:szCs w:val="22"/>
              </w:rPr>
              <w:t xml:space="preserve">NICE guideline tinnitus and </w:t>
            </w:r>
            <w:r>
              <w:rPr>
                <w:rFonts w:ascii="Century Gothic" w:hAnsi="Century Gothic" w:cs="Calibri"/>
                <w:sz w:val="22"/>
                <w:szCs w:val="22"/>
              </w:rPr>
              <w:t xml:space="preserve">NICE guideline </w:t>
            </w:r>
            <w:r w:rsidR="00354C9B" w:rsidRPr="00EF2937">
              <w:rPr>
                <w:rFonts w:ascii="Century Gothic" w:hAnsi="Century Gothic" w:cs="Calibri"/>
                <w:sz w:val="22"/>
                <w:szCs w:val="22"/>
              </w:rPr>
              <w:t>NG98</w:t>
            </w:r>
          </w:p>
        </w:tc>
        <w:tc>
          <w:tcPr>
            <w:tcW w:w="4252" w:type="dxa"/>
            <w:tcBorders>
              <w:top w:val="nil"/>
              <w:left w:val="nil"/>
              <w:bottom w:val="single" w:sz="4" w:space="0" w:color="auto"/>
              <w:right w:val="single" w:sz="4" w:space="0" w:color="auto"/>
            </w:tcBorders>
            <w:shd w:val="clear" w:color="auto" w:fill="auto"/>
            <w:noWrap/>
          </w:tcPr>
          <w:p w14:paraId="1009A183" w14:textId="66E188AC" w:rsidR="00354C9B" w:rsidRPr="00EF2937" w:rsidRDefault="00354C9B" w:rsidP="00354C9B">
            <w:pPr>
              <w:rPr>
                <w:rFonts w:ascii="Century Gothic" w:hAnsi="Century Gothic" w:cs="Calibri"/>
                <w:color w:val="000000"/>
                <w:sz w:val="22"/>
                <w:szCs w:val="22"/>
              </w:rPr>
            </w:pPr>
          </w:p>
        </w:tc>
      </w:tr>
      <w:tr w:rsidR="00354C9B" w:rsidRPr="00EF2937" w14:paraId="763265C3"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466672C4" w14:textId="053A04A6"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5.2.1</w:t>
            </w:r>
          </w:p>
        </w:tc>
        <w:tc>
          <w:tcPr>
            <w:tcW w:w="1468" w:type="dxa"/>
            <w:tcBorders>
              <w:top w:val="nil"/>
              <w:left w:val="nil"/>
              <w:bottom w:val="single" w:sz="4" w:space="0" w:color="auto"/>
              <w:right w:val="single" w:sz="4" w:space="0" w:color="auto"/>
            </w:tcBorders>
            <w:shd w:val="clear" w:color="auto" w:fill="auto"/>
            <w:noWrap/>
          </w:tcPr>
          <w:p w14:paraId="634DA06B" w14:textId="6E6DFE3E"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377-378</w:t>
            </w:r>
          </w:p>
        </w:tc>
        <w:tc>
          <w:tcPr>
            <w:tcW w:w="2324" w:type="dxa"/>
            <w:tcBorders>
              <w:top w:val="nil"/>
              <w:left w:val="nil"/>
              <w:bottom w:val="single" w:sz="4" w:space="0" w:color="auto"/>
              <w:right w:val="single" w:sz="4" w:space="0" w:color="auto"/>
            </w:tcBorders>
            <w:shd w:val="clear" w:color="auto" w:fill="auto"/>
          </w:tcPr>
          <w:p w14:paraId="34101332" w14:textId="1E9D34D7" w:rsidR="00354C9B" w:rsidRPr="00EF2937" w:rsidRDefault="00BB46CE" w:rsidP="00354C9B">
            <w:pPr>
              <w:pStyle w:val="NormalWeb"/>
              <w:rPr>
                <w:rFonts w:ascii="Century Gothic" w:hAnsi="Century Gothic"/>
                <w:sz w:val="22"/>
                <w:szCs w:val="22"/>
              </w:rPr>
            </w:pPr>
            <w:r>
              <w:rPr>
                <w:rFonts w:ascii="Century Gothic" w:hAnsi="Century Gothic"/>
                <w:sz w:val="22"/>
                <w:szCs w:val="22"/>
              </w:rPr>
              <w:t>A standardised questionnaire should be used…</w:t>
            </w:r>
          </w:p>
        </w:tc>
        <w:tc>
          <w:tcPr>
            <w:tcW w:w="4622" w:type="dxa"/>
            <w:tcBorders>
              <w:top w:val="nil"/>
              <w:left w:val="nil"/>
              <w:bottom w:val="single" w:sz="4" w:space="0" w:color="auto"/>
              <w:right w:val="single" w:sz="4" w:space="0" w:color="auto"/>
            </w:tcBorders>
            <w:shd w:val="clear" w:color="auto" w:fill="auto"/>
          </w:tcPr>
          <w:p w14:paraId="64056DE2" w14:textId="46734BD4" w:rsidR="00BB46CE" w:rsidRDefault="00354C9B" w:rsidP="00354C9B">
            <w:pPr>
              <w:rPr>
                <w:rFonts w:ascii="Century Gothic" w:hAnsi="Century Gothic" w:cs="Calibri"/>
                <w:sz w:val="22"/>
                <w:szCs w:val="22"/>
              </w:rPr>
            </w:pPr>
            <w:r w:rsidRPr="00EF2937">
              <w:rPr>
                <w:rFonts w:ascii="Century Gothic" w:hAnsi="Century Gothic" w:cs="Calibri"/>
                <w:sz w:val="22"/>
                <w:szCs w:val="22"/>
              </w:rPr>
              <w:t xml:space="preserve">The section refers to a standardised </w:t>
            </w:r>
            <w:proofErr w:type="gramStart"/>
            <w:r w:rsidRPr="00EF2937">
              <w:rPr>
                <w:rFonts w:ascii="Century Gothic" w:hAnsi="Century Gothic" w:cs="Calibri"/>
                <w:sz w:val="22"/>
                <w:szCs w:val="22"/>
              </w:rPr>
              <w:t>questionnaire</w:t>
            </w:r>
            <w:r w:rsidR="00BB46CE">
              <w:rPr>
                <w:rFonts w:ascii="Century Gothic" w:hAnsi="Century Gothic" w:cs="Calibri"/>
                <w:sz w:val="22"/>
                <w:szCs w:val="22"/>
              </w:rPr>
              <w:t xml:space="preserve">, </w:t>
            </w:r>
            <w:r w:rsidRPr="00EF2937">
              <w:rPr>
                <w:rFonts w:ascii="Century Gothic" w:hAnsi="Century Gothic" w:cs="Calibri"/>
                <w:sz w:val="22"/>
                <w:szCs w:val="22"/>
              </w:rPr>
              <w:t>but</w:t>
            </w:r>
            <w:proofErr w:type="gramEnd"/>
            <w:r w:rsidRPr="00EF2937">
              <w:rPr>
                <w:rFonts w:ascii="Century Gothic" w:hAnsi="Century Gothic" w:cs="Calibri"/>
                <w:sz w:val="22"/>
                <w:szCs w:val="22"/>
              </w:rPr>
              <w:t xml:space="preserve"> misses the opportunity to cross reference to recommended </w:t>
            </w:r>
            <w:r w:rsidRPr="00EF2937">
              <w:rPr>
                <w:rFonts w:ascii="Century Gothic" w:hAnsi="Century Gothic" w:cs="Calibri"/>
                <w:sz w:val="22"/>
                <w:szCs w:val="22"/>
              </w:rPr>
              <w:lastRenderedPageBreak/>
              <w:t>questionnaires elsewhere in the guidance</w:t>
            </w:r>
            <w:r w:rsidR="00BB46CE">
              <w:rPr>
                <w:rFonts w:ascii="Century Gothic" w:hAnsi="Century Gothic" w:cs="Calibri"/>
                <w:sz w:val="22"/>
                <w:szCs w:val="22"/>
              </w:rPr>
              <w:t xml:space="preserve"> </w:t>
            </w:r>
            <w:r w:rsidR="00BB46CE" w:rsidRPr="00BB46CE">
              <w:rPr>
                <w:rFonts w:ascii="Century Gothic" w:hAnsi="Century Gothic" w:cs="Calibri"/>
                <w:sz w:val="22"/>
                <w:szCs w:val="22"/>
              </w:rPr>
              <w:t>- e.g.</w:t>
            </w:r>
            <w:r w:rsidR="00BB46CE">
              <w:rPr>
                <w:rFonts w:ascii="Century Gothic" w:hAnsi="Century Gothic" w:cs="Calibri"/>
                <w:sz w:val="22"/>
                <w:szCs w:val="22"/>
              </w:rPr>
              <w:t xml:space="preserve"> </w:t>
            </w:r>
            <w:r w:rsidR="00BB46CE" w:rsidRPr="00EF2937">
              <w:rPr>
                <w:rFonts w:ascii="Century Gothic" w:hAnsi="Century Gothic" w:cs="Calibri"/>
                <w:sz w:val="22"/>
                <w:szCs w:val="22"/>
              </w:rPr>
              <w:t>lines 1251-1263</w:t>
            </w:r>
            <w:r w:rsidR="00BB46CE">
              <w:rPr>
                <w:rFonts w:ascii="Century Gothic" w:hAnsi="Century Gothic" w:cs="Calibri"/>
                <w:sz w:val="22"/>
                <w:szCs w:val="22"/>
              </w:rPr>
              <w:t>.</w:t>
            </w:r>
          </w:p>
          <w:p w14:paraId="5030E02D" w14:textId="7E150838" w:rsidR="00BB46CE" w:rsidRDefault="00BB46CE" w:rsidP="00354C9B">
            <w:pPr>
              <w:rPr>
                <w:rFonts w:ascii="Century Gothic" w:hAnsi="Century Gothic" w:cs="Calibri"/>
                <w:sz w:val="22"/>
                <w:szCs w:val="22"/>
              </w:rPr>
            </w:pPr>
          </w:p>
          <w:p w14:paraId="67BD3556" w14:textId="5346A9E9" w:rsidR="00354C9B" w:rsidRPr="00EF2937" w:rsidRDefault="00BB46CE" w:rsidP="00354C9B">
            <w:pPr>
              <w:rPr>
                <w:rFonts w:ascii="Century Gothic" w:hAnsi="Century Gothic" w:cs="Calibri"/>
                <w:sz w:val="22"/>
                <w:szCs w:val="22"/>
              </w:rPr>
            </w:pPr>
            <w:r>
              <w:rPr>
                <w:rFonts w:ascii="Century Gothic" w:hAnsi="Century Gothic" w:cs="Calibri"/>
                <w:sz w:val="22"/>
                <w:szCs w:val="22"/>
              </w:rPr>
              <w:t>As per our feedback above, it might be helpful to present the guidance in a format that aids dissemination of best practice – e.g. i</w:t>
            </w:r>
            <w:r w:rsidR="00354C9B" w:rsidRPr="00EF2937">
              <w:rPr>
                <w:rFonts w:ascii="Century Gothic" w:hAnsi="Century Gothic" w:cs="Calibri"/>
                <w:sz w:val="22"/>
                <w:szCs w:val="22"/>
              </w:rPr>
              <w:t xml:space="preserve">t might help the reader to have a table with </w:t>
            </w:r>
            <w:r>
              <w:rPr>
                <w:rFonts w:ascii="Century Gothic" w:hAnsi="Century Gothic" w:cs="Calibri"/>
                <w:sz w:val="22"/>
                <w:szCs w:val="22"/>
              </w:rPr>
              <w:t>a summary of all</w:t>
            </w:r>
            <w:r w:rsidR="00354C9B" w:rsidRPr="00EF2937">
              <w:rPr>
                <w:rFonts w:ascii="Century Gothic" w:hAnsi="Century Gothic" w:cs="Calibri"/>
                <w:sz w:val="22"/>
                <w:szCs w:val="22"/>
              </w:rPr>
              <w:t xml:space="preserve"> questionnaires </w:t>
            </w:r>
            <w:r>
              <w:rPr>
                <w:rFonts w:ascii="Century Gothic" w:hAnsi="Century Gothic" w:cs="Calibri"/>
                <w:sz w:val="22"/>
                <w:szCs w:val="22"/>
              </w:rPr>
              <w:t xml:space="preserve">and </w:t>
            </w:r>
            <w:r w:rsidR="00354C9B" w:rsidRPr="00EF2937">
              <w:rPr>
                <w:rFonts w:ascii="Century Gothic" w:hAnsi="Century Gothic" w:cs="Calibri"/>
                <w:sz w:val="22"/>
                <w:szCs w:val="22"/>
              </w:rPr>
              <w:t>BSA recommendations included</w:t>
            </w:r>
            <w:r>
              <w:rPr>
                <w:rFonts w:ascii="Century Gothic" w:hAnsi="Century Gothic" w:cs="Calibri"/>
                <w:sz w:val="22"/>
                <w:szCs w:val="22"/>
              </w:rPr>
              <w:t xml:space="preserve">, and then all additional detail </w:t>
            </w:r>
            <w:r w:rsidR="00354C9B" w:rsidRPr="00EF2937">
              <w:rPr>
                <w:rFonts w:ascii="Century Gothic" w:hAnsi="Century Gothic" w:cs="Calibri"/>
                <w:sz w:val="22"/>
                <w:szCs w:val="22"/>
              </w:rPr>
              <w:t xml:space="preserve">included in an annex. </w:t>
            </w:r>
          </w:p>
        </w:tc>
        <w:tc>
          <w:tcPr>
            <w:tcW w:w="4252" w:type="dxa"/>
            <w:tcBorders>
              <w:top w:val="nil"/>
              <w:left w:val="nil"/>
              <w:bottom w:val="single" w:sz="4" w:space="0" w:color="auto"/>
              <w:right w:val="single" w:sz="4" w:space="0" w:color="auto"/>
            </w:tcBorders>
            <w:shd w:val="clear" w:color="auto" w:fill="auto"/>
            <w:noWrap/>
          </w:tcPr>
          <w:p w14:paraId="60B40BB7" w14:textId="651FA974" w:rsidR="00354C9B" w:rsidRPr="00EF2937" w:rsidRDefault="00354C9B" w:rsidP="00354C9B">
            <w:pPr>
              <w:rPr>
                <w:rFonts w:ascii="Century Gothic" w:hAnsi="Century Gothic" w:cs="Calibri"/>
                <w:color w:val="000000"/>
                <w:sz w:val="22"/>
                <w:szCs w:val="22"/>
              </w:rPr>
            </w:pPr>
          </w:p>
        </w:tc>
      </w:tr>
      <w:tr w:rsidR="00354C9B" w:rsidRPr="00EF2937" w14:paraId="35BB9828"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1F652760" w14:textId="3B4D537E"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5.3</w:t>
            </w:r>
          </w:p>
        </w:tc>
        <w:tc>
          <w:tcPr>
            <w:tcW w:w="1468" w:type="dxa"/>
            <w:tcBorders>
              <w:top w:val="nil"/>
              <w:left w:val="nil"/>
              <w:bottom w:val="single" w:sz="4" w:space="0" w:color="auto"/>
              <w:right w:val="single" w:sz="4" w:space="0" w:color="auto"/>
            </w:tcBorders>
            <w:shd w:val="clear" w:color="auto" w:fill="auto"/>
            <w:noWrap/>
          </w:tcPr>
          <w:p w14:paraId="06A45F23" w14:textId="52234743"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All</w:t>
            </w:r>
          </w:p>
        </w:tc>
        <w:tc>
          <w:tcPr>
            <w:tcW w:w="2324" w:type="dxa"/>
            <w:tcBorders>
              <w:top w:val="nil"/>
              <w:left w:val="nil"/>
              <w:bottom w:val="single" w:sz="4" w:space="0" w:color="auto"/>
              <w:right w:val="single" w:sz="4" w:space="0" w:color="auto"/>
            </w:tcBorders>
            <w:shd w:val="clear" w:color="auto" w:fill="auto"/>
          </w:tcPr>
          <w:p w14:paraId="6AE287F5" w14:textId="10567304"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Use of “excellent”</w:t>
            </w:r>
          </w:p>
        </w:tc>
        <w:tc>
          <w:tcPr>
            <w:tcW w:w="4622" w:type="dxa"/>
            <w:tcBorders>
              <w:top w:val="nil"/>
              <w:left w:val="nil"/>
              <w:bottom w:val="single" w:sz="4" w:space="0" w:color="auto"/>
              <w:right w:val="single" w:sz="4" w:space="0" w:color="auto"/>
            </w:tcBorders>
            <w:shd w:val="clear" w:color="auto" w:fill="auto"/>
          </w:tcPr>
          <w:p w14:paraId="0F86BA14" w14:textId="25FB0EF4"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The term “excellent” is used throughout section 5.3</w:t>
            </w:r>
            <w:r w:rsidR="00BB46CE">
              <w:rPr>
                <w:rFonts w:ascii="Century Gothic" w:hAnsi="Century Gothic" w:cs="Calibri"/>
                <w:sz w:val="22"/>
                <w:szCs w:val="22"/>
              </w:rPr>
              <w:t>, but this is not always supported by evidence and/or the quality of evidence to support the statement is not clear</w:t>
            </w:r>
            <w:r w:rsidRPr="00EF2937">
              <w:rPr>
                <w:rFonts w:ascii="Century Gothic" w:hAnsi="Century Gothic" w:cs="Calibri"/>
                <w:sz w:val="22"/>
                <w:szCs w:val="22"/>
              </w:rPr>
              <w:t>.  For example, lines 475-76 “excellent reliability”. The term excellent should be reviewed throughout</w:t>
            </w:r>
            <w:r w:rsidR="00BB46CE">
              <w:rPr>
                <w:rFonts w:ascii="Century Gothic" w:hAnsi="Century Gothic" w:cs="Calibri"/>
                <w:sz w:val="22"/>
                <w:szCs w:val="22"/>
              </w:rPr>
              <w:t xml:space="preserve"> and where necessary </w:t>
            </w:r>
            <w:r w:rsidRPr="00EF2937">
              <w:rPr>
                <w:rFonts w:ascii="Century Gothic" w:hAnsi="Century Gothic" w:cs="Calibri"/>
                <w:sz w:val="22"/>
                <w:szCs w:val="22"/>
              </w:rPr>
              <w:t xml:space="preserve">a more neutral and </w:t>
            </w:r>
            <w:r w:rsidR="000349A4" w:rsidRPr="00EF2937">
              <w:rPr>
                <w:rFonts w:ascii="Century Gothic" w:hAnsi="Century Gothic" w:cs="Calibri"/>
                <w:sz w:val="22"/>
                <w:szCs w:val="22"/>
              </w:rPr>
              <w:t>evidence-based</w:t>
            </w:r>
            <w:r w:rsidRPr="00EF2937">
              <w:rPr>
                <w:rFonts w:ascii="Century Gothic" w:hAnsi="Century Gothic" w:cs="Calibri"/>
                <w:sz w:val="22"/>
                <w:szCs w:val="22"/>
              </w:rPr>
              <w:t xml:space="preserve"> term </w:t>
            </w:r>
            <w:r w:rsidR="00BB46CE">
              <w:rPr>
                <w:rFonts w:ascii="Century Gothic" w:hAnsi="Century Gothic" w:cs="Calibri"/>
                <w:sz w:val="22"/>
                <w:szCs w:val="22"/>
              </w:rPr>
              <w:t xml:space="preserve">should be </w:t>
            </w:r>
            <w:r w:rsidRPr="00EF2937">
              <w:rPr>
                <w:rFonts w:ascii="Century Gothic" w:hAnsi="Century Gothic" w:cs="Calibri"/>
                <w:sz w:val="22"/>
                <w:szCs w:val="22"/>
              </w:rPr>
              <w:t xml:space="preserve">used to define reliability </w:t>
            </w:r>
          </w:p>
        </w:tc>
        <w:tc>
          <w:tcPr>
            <w:tcW w:w="4252" w:type="dxa"/>
            <w:tcBorders>
              <w:top w:val="nil"/>
              <w:left w:val="nil"/>
              <w:bottom w:val="single" w:sz="4" w:space="0" w:color="auto"/>
              <w:right w:val="single" w:sz="4" w:space="0" w:color="auto"/>
            </w:tcBorders>
            <w:shd w:val="clear" w:color="auto" w:fill="auto"/>
            <w:noWrap/>
          </w:tcPr>
          <w:p w14:paraId="3E9D5B12" w14:textId="77777777" w:rsidR="00354C9B" w:rsidRPr="00EF2937" w:rsidRDefault="00354C9B" w:rsidP="00354C9B">
            <w:pPr>
              <w:rPr>
                <w:rFonts w:ascii="Century Gothic" w:hAnsi="Century Gothic" w:cs="Calibri"/>
                <w:color w:val="000000"/>
                <w:sz w:val="22"/>
                <w:szCs w:val="22"/>
              </w:rPr>
            </w:pPr>
          </w:p>
        </w:tc>
      </w:tr>
      <w:tr w:rsidR="00354C9B" w:rsidRPr="00EF2937" w14:paraId="3D5ECE53"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38E55E7C" w14:textId="34F17B8B"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5.4</w:t>
            </w:r>
          </w:p>
        </w:tc>
        <w:tc>
          <w:tcPr>
            <w:tcW w:w="1468" w:type="dxa"/>
            <w:tcBorders>
              <w:top w:val="nil"/>
              <w:left w:val="nil"/>
              <w:bottom w:val="single" w:sz="4" w:space="0" w:color="auto"/>
              <w:right w:val="single" w:sz="4" w:space="0" w:color="auto"/>
            </w:tcBorders>
            <w:shd w:val="clear" w:color="auto" w:fill="auto"/>
            <w:noWrap/>
          </w:tcPr>
          <w:p w14:paraId="52667E68" w14:textId="1AB88643"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All</w:t>
            </w:r>
          </w:p>
        </w:tc>
        <w:tc>
          <w:tcPr>
            <w:tcW w:w="2324" w:type="dxa"/>
            <w:tcBorders>
              <w:top w:val="nil"/>
              <w:left w:val="nil"/>
              <w:bottom w:val="single" w:sz="4" w:space="0" w:color="auto"/>
              <w:right w:val="single" w:sz="4" w:space="0" w:color="auto"/>
            </w:tcBorders>
            <w:shd w:val="clear" w:color="auto" w:fill="auto"/>
          </w:tcPr>
          <w:p w14:paraId="410C40EF" w14:textId="77777777" w:rsidR="00354C9B" w:rsidRPr="00EF2937" w:rsidRDefault="00354C9B" w:rsidP="00354C9B">
            <w:pPr>
              <w:pStyle w:val="NormalWeb"/>
              <w:rPr>
                <w:rFonts w:ascii="Century Gothic" w:hAnsi="Century Gothic"/>
                <w:sz w:val="22"/>
                <w:szCs w:val="22"/>
              </w:rPr>
            </w:pPr>
          </w:p>
        </w:tc>
        <w:tc>
          <w:tcPr>
            <w:tcW w:w="4622" w:type="dxa"/>
            <w:tcBorders>
              <w:top w:val="nil"/>
              <w:left w:val="nil"/>
              <w:bottom w:val="single" w:sz="4" w:space="0" w:color="auto"/>
              <w:right w:val="single" w:sz="4" w:space="0" w:color="auto"/>
            </w:tcBorders>
            <w:shd w:val="clear" w:color="auto" w:fill="auto"/>
          </w:tcPr>
          <w:p w14:paraId="4E928EC7" w14:textId="2E8D12F2" w:rsidR="000349A4" w:rsidRDefault="000349A4" w:rsidP="000349A4">
            <w:pPr>
              <w:rPr>
                <w:rFonts w:ascii="Century Gothic" w:hAnsi="Century Gothic"/>
              </w:rPr>
            </w:pPr>
            <w:r w:rsidRPr="00DF058C">
              <w:rPr>
                <w:rFonts w:ascii="Century Gothic" w:hAnsi="Century Gothic" w:cs="Calibri"/>
                <w:sz w:val="22"/>
                <w:szCs w:val="22"/>
              </w:rPr>
              <w:t xml:space="preserve">It would be helpful to check this against the final NICE guideline, </w:t>
            </w:r>
            <w:hyperlink r:id="rId15" w:history="1">
              <w:r w:rsidRPr="00DF058C">
                <w:rPr>
                  <w:rStyle w:val="Hyperlink"/>
                  <w:rFonts w:ascii="Century Gothic" w:hAnsi="Century Gothic" w:cs="Calibri"/>
                  <w:sz w:val="22"/>
                  <w:szCs w:val="22"/>
                </w:rPr>
                <w:t>Tinnitus: assessment and management</w:t>
              </w:r>
            </w:hyperlink>
            <w:r>
              <w:rPr>
                <w:rStyle w:val="Hyperlink"/>
                <w:rFonts w:ascii="Century Gothic" w:hAnsi="Century Gothic" w:cs="Calibri"/>
                <w:sz w:val="22"/>
                <w:szCs w:val="22"/>
              </w:rPr>
              <w:t xml:space="preserve"> </w:t>
            </w:r>
          </w:p>
          <w:p w14:paraId="0E23F2E9" w14:textId="6559DFEF"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and NG98</w:t>
            </w:r>
            <w:r w:rsidR="000349A4" w:rsidRPr="00DF058C">
              <w:rPr>
                <w:rFonts w:ascii="Century Gothic" w:hAnsi="Century Gothic"/>
                <w:sz w:val="22"/>
                <w:szCs w:val="22"/>
              </w:rPr>
              <w:t xml:space="preserve"> </w:t>
            </w:r>
            <w:r w:rsidR="000349A4" w:rsidRPr="00DF058C">
              <w:rPr>
                <w:rFonts w:ascii="Century Gothic" w:hAnsi="Century Gothic"/>
                <w:sz w:val="22"/>
                <w:szCs w:val="22"/>
              </w:rPr>
              <w:t>to ensure there is consistency</w:t>
            </w:r>
          </w:p>
        </w:tc>
        <w:tc>
          <w:tcPr>
            <w:tcW w:w="4252" w:type="dxa"/>
            <w:tcBorders>
              <w:top w:val="nil"/>
              <w:left w:val="nil"/>
              <w:bottom w:val="single" w:sz="4" w:space="0" w:color="auto"/>
              <w:right w:val="single" w:sz="4" w:space="0" w:color="auto"/>
            </w:tcBorders>
            <w:shd w:val="clear" w:color="auto" w:fill="auto"/>
            <w:noWrap/>
          </w:tcPr>
          <w:p w14:paraId="142A7F35" w14:textId="77777777" w:rsidR="00354C9B" w:rsidRPr="00EF2937" w:rsidRDefault="00354C9B" w:rsidP="00354C9B">
            <w:pPr>
              <w:rPr>
                <w:rFonts w:ascii="Century Gothic" w:hAnsi="Century Gothic" w:cs="Calibri"/>
                <w:color w:val="000000"/>
                <w:sz w:val="22"/>
                <w:szCs w:val="22"/>
              </w:rPr>
            </w:pPr>
          </w:p>
        </w:tc>
      </w:tr>
      <w:tr w:rsidR="00354C9B" w:rsidRPr="00EF2937" w14:paraId="5732738D"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46F1D74E" w14:textId="26A84C20"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5.4</w:t>
            </w:r>
          </w:p>
        </w:tc>
        <w:tc>
          <w:tcPr>
            <w:tcW w:w="1468" w:type="dxa"/>
            <w:tcBorders>
              <w:top w:val="nil"/>
              <w:left w:val="nil"/>
              <w:bottom w:val="single" w:sz="4" w:space="0" w:color="auto"/>
              <w:right w:val="single" w:sz="4" w:space="0" w:color="auto"/>
            </w:tcBorders>
            <w:shd w:val="clear" w:color="auto" w:fill="auto"/>
            <w:noWrap/>
          </w:tcPr>
          <w:p w14:paraId="46DD98D0" w14:textId="35CC6E55"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619-20</w:t>
            </w:r>
          </w:p>
        </w:tc>
        <w:tc>
          <w:tcPr>
            <w:tcW w:w="2324" w:type="dxa"/>
            <w:tcBorders>
              <w:top w:val="nil"/>
              <w:left w:val="nil"/>
              <w:bottom w:val="single" w:sz="4" w:space="0" w:color="auto"/>
              <w:right w:val="single" w:sz="4" w:space="0" w:color="auto"/>
            </w:tcBorders>
            <w:shd w:val="clear" w:color="auto" w:fill="auto"/>
          </w:tcPr>
          <w:p w14:paraId="3E3C365C" w14:textId="166156BC"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“or asymmetric hearing loss”</w:t>
            </w:r>
          </w:p>
        </w:tc>
        <w:tc>
          <w:tcPr>
            <w:tcW w:w="4622" w:type="dxa"/>
            <w:tcBorders>
              <w:top w:val="nil"/>
              <w:left w:val="nil"/>
              <w:bottom w:val="single" w:sz="4" w:space="0" w:color="auto"/>
              <w:right w:val="single" w:sz="4" w:space="0" w:color="auto"/>
            </w:tcBorders>
            <w:shd w:val="clear" w:color="auto" w:fill="auto"/>
          </w:tcPr>
          <w:p w14:paraId="00A7BD1C" w14:textId="0D49FABF" w:rsidR="00354C9B" w:rsidRDefault="000349A4" w:rsidP="00354C9B">
            <w:pPr>
              <w:rPr>
                <w:rFonts w:ascii="Century Gothic" w:hAnsi="Century Gothic" w:cs="Calibri"/>
                <w:sz w:val="22"/>
                <w:szCs w:val="22"/>
              </w:rPr>
            </w:pPr>
            <w:r>
              <w:rPr>
                <w:rFonts w:ascii="Century Gothic" w:hAnsi="Century Gothic" w:cs="Calibri"/>
                <w:sz w:val="22"/>
                <w:szCs w:val="22"/>
              </w:rPr>
              <w:t xml:space="preserve">Please see our comments above re asymmetric hearing loss. </w:t>
            </w:r>
          </w:p>
          <w:p w14:paraId="26FE3640" w14:textId="048515F3" w:rsidR="000349A4" w:rsidRPr="00EF2937" w:rsidRDefault="000349A4" w:rsidP="00354C9B">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0173EC07" w14:textId="569B33EE" w:rsidR="00354C9B" w:rsidRPr="00EF2937" w:rsidRDefault="000349A4" w:rsidP="00354C9B">
            <w:pPr>
              <w:rPr>
                <w:rFonts w:ascii="Century Gothic" w:hAnsi="Century Gothic" w:cs="Calibri"/>
                <w:color w:val="000000"/>
                <w:sz w:val="22"/>
                <w:szCs w:val="22"/>
              </w:rPr>
            </w:pPr>
            <w:r>
              <w:rPr>
                <w:rFonts w:ascii="Century Gothic" w:hAnsi="Century Gothic" w:cs="Calibri"/>
                <w:color w:val="000000"/>
                <w:sz w:val="22"/>
                <w:szCs w:val="22"/>
              </w:rPr>
              <w:t xml:space="preserve">“or </w:t>
            </w:r>
            <w:r>
              <w:rPr>
                <w:rFonts w:ascii="Century Gothic" w:hAnsi="Century Gothic" w:cs="Calibri"/>
                <w:color w:val="000000"/>
                <w:sz w:val="22"/>
                <w:szCs w:val="22"/>
              </w:rPr>
              <w:t>clinically significant asymmetric hearing loss</w:t>
            </w:r>
            <w:r>
              <w:rPr>
                <w:rFonts w:ascii="Century Gothic" w:hAnsi="Century Gothic" w:cs="Calibri"/>
                <w:color w:val="000000"/>
                <w:sz w:val="22"/>
                <w:szCs w:val="22"/>
              </w:rPr>
              <w:t>”</w:t>
            </w:r>
          </w:p>
        </w:tc>
      </w:tr>
      <w:tr w:rsidR="00354C9B" w:rsidRPr="00EF2937" w14:paraId="56599F1D"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4118FA9C" w14:textId="7FA4E927"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5.6</w:t>
            </w:r>
          </w:p>
        </w:tc>
        <w:tc>
          <w:tcPr>
            <w:tcW w:w="1468" w:type="dxa"/>
            <w:tcBorders>
              <w:top w:val="nil"/>
              <w:left w:val="nil"/>
              <w:bottom w:val="single" w:sz="4" w:space="0" w:color="auto"/>
              <w:right w:val="single" w:sz="4" w:space="0" w:color="auto"/>
            </w:tcBorders>
            <w:shd w:val="clear" w:color="auto" w:fill="auto"/>
            <w:noWrap/>
          </w:tcPr>
          <w:p w14:paraId="7652F714" w14:textId="1A410760"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685-686</w:t>
            </w:r>
          </w:p>
        </w:tc>
        <w:tc>
          <w:tcPr>
            <w:tcW w:w="2324" w:type="dxa"/>
            <w:tcBorders>
              <w:top w:val="nil"/>
              <w:left w:val="nil"/>
              <w:bottom w:val="single" w:sz="4" w:space="0" w:color="auto"/>
              <w:right w:val="single" w:sz="4" w:space="0" w:color="auto"/>
            </w:tcBorders>
            <w:shd w:val="clear" w:color="auto" w:fill="auto"/>
          </w:tcPr>
          <w:p w14:paraId="67DDB43F" w14:textId="1ACED74C"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“Altering the safeguarding team”</w:t>
            </w:r>
          </w:p>
        </w:tc>
        <w:tc>
          <w:tcPr>
            <w:tcW w:w="4622" w:type="dxa"/>
            <w:tcBorders>
              <w:top w:val="nil"/>
              <w:left w:val="nil"/>
              <w:bottom w:val="single" w:sz="4" w:space="0" w:color="auto"/>
              <w:right w:val="single" w:sz="4" w:space="0" w:color="auto"/>
            </w:tcBorders>
            <w:shd w:val="clear" w:color="auto" w:fill="auto"/>
          </w:tcPr>
          <w:p w14:paraId="3F58CA00" w14:textId="0016DF4D"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[re suicide]</w:t>
            </w:r>
            <w:r w:rsidR="00A472D5">
              <w:rPr>
                <w:rFonts w:ascii="Century Gothic" w:hAnsi="Century Gothic" w:cs="Calibri"/>
                <w:sz w:val="22"/>
                <w:szCs w:val="22"/>
              </w:rPr>
              <w:t>.</w:t>
            </w:r>
            <w:r w:rsidRPr="00EF2937">
              <w:rPr>
                <w:rFonts w:ascii="Century Gothic" w:hAnsi="Century Gothic" w:cs="Calibri"/>
                <w:sz w:val="22"/>
                <w:szCs w:val="22"/>
              </w:rPr>
              <w:t xml:space="preserve"> It is not clear that </w:t>
            </w:r>
            <w:r w:rsidR="00A472D5">
              <w:rPr>
                <w:rFonts w:ascii="Century Gothic" w:hAnsi="Century Gothic" w:cs="Calibri"/>
                <w:sz w:val="22"/>
                <w:szCs w:val="22"/>
              </w:rPr>
              <w:t xml:space="preserve">the safeguarding team </w:t>
            </w:r>
            <w:r w:rsidRPr="00EF2937">
              <w:rPr>
                <w:rFonts w:ascii="Century Gothic" w:hAnsi="Century Gothic" w:cs="Calibri"/>
                <w:sz w:val="22"/>
                <w:szCs w:val="22"/>
              </w:rPr>
              <w:t xml:space="preserve">is the </w:t>
            </w:r>
            <w:r w:rsidR="00A472D5">
              <w:rPr>
                <w:rFonts w:ascii="Century Gothic" w:hAnsi="Century Gothic" w:cs="Calibri"/>
                <w:sz w:val="22"/>
                <w:szCs w:val="22"/>
              </w:rPr>
              <w:t xml:space="preserve">most </w:t>
            </w:r>
            <w:r w:rsidRPr="00EF2937">
              <w:rPr>
                <w:rFonts w:ascii="Century Gothic" w:hAnsi="Century Gothic" w:cs="Calibri"/>
                <w:sz w:val="22"/>
                <w:szCs w:val="22"/>
              </w:rPr>
              <w:t xml:space="preserve">appropriate referral route, does the BSA mean </w:t>
            </w:r>
            <w:r w:rsidR="00A472D5">
              <w:rPr>
                <w:rFonts w:ascii="Century Gothic" w:hAnsi="Century Gothic" w:cs="Calibri"/>
                <w:sz w:val="22"/>
                <w:szCs w:val="22"/>
              </w:rPr>
              <w:t xml:space="preserve">the </w:t>
            </w:r>
            <w:r w:rsidRPr="00EF2937">
              <w:rPr>
                <w:rFonts w:ascii="Century Gothic" w:hAnsi="Century Gothic" w:cs="Calibri"/>
                <w:sz w:val="22"/>
                <w:szCs w:val="22"/>
              </w:rPr>
              <w:t>GP</w:t>
            </w:r>
            <w:r w:rsidR="00A472D5">
              <w:rPr>
                <w:rFonts w:ascii="Century Gothic" w:hAnsi="Century Gothic" w:cs="Calibri"/>
                <w:sz w:val="22"/>
                <w:szCs w:val="22"/>
              </w:rPr>
              <w:t xml:space="preserve"> and/or </w:t>
            </w:r>
            <w:r w:rsidRPr="00EF2937">
              <w:rPr>
                <w:rFonts w:ascii="Century Gothic" w:hAnsi="Century Gothic" w:cs="Calibri"/>
                <w:sz w:val="22"/>
                <w:szCs w:val="22"/>
              </w:rPr>
              <w:t>crisis team?</w:t>
            </w:r>
          </w:p>
        </w:tc>
        <w:tc>
          <w:tcPr>
            <w:tcW w:w="4252" w:type="dxa"/>
            <w:tcBorders>
              <w:top w:val="nil"/>
              <w:left w:val="nil"/>
              <w:bottom w:val="single" w:sz="4" w:space="0" w:color="auto"/>
              <w:right w:val="single" w:sz="4" w:space="0" w:color="auto"/>
            </w:tcBorders>
            <w:shd w:val="clear" w:color="auto" w:fill="auto"/>
            <w:noWrap/>
          </w:tcPr>
          <w:p w14:paraId="4C4A382B" w14:textId="77777777" w:rsidR="00354C9B" w:rsidRPr="00EF2937" w:rsidRDefault="00354C9B" w:rsidP="00354C9B">
            <w:pPr>
              <w:rPr>
                <w:rFonts w:ascii="Century Gothic" w:hAnsi="Century Gothic" w:cs="Calibri"/>
                <w:color w:val="000000"/>
                <w:sz w:val="22"/>
                <w:szCs w:val="22"/>
              </w:rPr>
            </w:pPr>
          </w:p>
        </w:tc>
      </w:tr>
      <w:tr w:rsidR="00354C9B" w:rsidRPr="00EF2937" w14:paraId="5719B7F2"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2C83AFA9" w14:textId="68F77B3C"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lastRenderedPageBreak/>
              <w:t>5.7</w:t>
            </w:r>
          </w:p>
        </w:tc>
        <w:tc>
          <w:tcPr>
            <w:tcW w:w="1468" w:type="dxa"/>
            <w:tcBorders>
              <w:top w:val="nil"/>
              <w:left w:val="nil"/>
              <w:bottom w:val="single" w:sz="4" w:space="0" w:color="auto"/>
              <w:right w:val="single" w:sz="4" w:space="0" w:color="auto"/>
            </w:tcBorders>
            <w:shd w:val="clear" w:color="auto" w:fill="auto"/>
            <w:noWrap/>
          </w:tcPr>
          <w:p w14:paraId="52F6ABC7" w14:textId="5BBBA220"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696-698</w:t>
            </w:r>
          </w:p>
        </w:tc>
        <w:tc>
          <w:tcPr>
            <w:tcW w:w="2324" w:type="dxa"/>
            <w:tcBorders>
              <w:top w:val="nil"/>
              <w:left w:val="nil"/>
              <w:bottom w:val="single" w:sz="4" w:space="0" w:color="auto"/>
              <w:right w:val="single" w:sz="4" w:space="0" w:color="auto"/>
            </w:tcBorders>
            <w:shd w:val="clear" w:color="auto" w:fill="auto"/>
          </w:tcPr>
          <w:p w14:paraId="5C28D2C6" w14:textId="122B0A9D"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“Making paper-based notes to be inputted immediately after the appointment may be a way to avoid this”</w:t>
            </w:r>
          </w:p>
        </w:tc>
        <w:tc>
          <w:tcPr>
            <w:tcW w:w="4622" w:type="dxa"/>
            <w:tcBorders>
              <w:top w:val="nil"/>
              <w:left w:val="nil"/>
              <w:bottom w:val="single" w:sz="4" w:space="0" w:color="auto"/>
              <w:right w:val="single" w:sz="4" w:space="0" w:color="auto"/>
            </w:tcBorders>
            <w:shd w:val="clear" w:color="auto" w:fill="auto"/>
          </w:tcPr>
          <w:p w14:paraId="508C46E2" w14:textId="0C161501" w:rsidR="00A472D5" w:rsidRPr="00EF2937" w:rsidRDefault="00354C9B" w:rsidP="00A472D5">
            <w:pPr>
              <w:rPr>
                <w:rFonts w:ascii="Century Gothic" w:hAnsi="Century Gothic" w:cs="Calibri"/>
                <w:sz w:val="22"/>
                <w:szCs w:val="22"/>
              </w:rPr>
            </w:pPr>
            <w:r w:rsidRPr="00EF2937">
              <w:rPr>
                <w:rFonts w:ascii="Century Gothic" w:hAnsi="Century Gothic" w:cs="Calibri"/>
                <w:sz w:val="22"/>
                <w:szCs w:val="22"/>
              </w:rPr>
              <w:t>We agree with the general advice in this section</w:t>
            </w:r>
            <w:r w:rsidR="00A472D5">
              <w:rPr>
                <w:rFonts w:ascii="Century Gothic" w:hAnsi="Century Gothic" w:cs="Calibri"/>
                <w:sz w:val="22"/>
                <w:szCs w:val="22"/>
              </w:rPr>
              <w:t xml:space="preserve"> and agree in an ideal world written notes would be put into a e-record immediately after the appointment. However, this recommendation poses risks including input errors, delays in updating e-records with misunderstandings should there later be a fitness to practice issue (e.g. it can in retrospect look as if a practitioner has amended record cards depending audit records etc). It might therefore be beneficial to seek additional advice on this recommendation. </w:t>
            </w:r>
          </w:p>
          <w:p w14:paraId="252ADBD6" w14:textId="41258CCB" w:rsidR="00354C9B" w:rsidRPr="00EF2937" w:rsidRDefault="00354C9B" w:rsidP="00354C9B">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7840556A" w14:textId="77777777" w:rsidR="00354C9B" w:rsidRPr="00EF2937" w:rsidRDefault="00354C9B" w:rsidP="00354C9B">
            <w:pPr>
              <w:rPr>
                <w:rFonts w:ascii="Century Gothic" w:hAnsi="Century Gothic" w:cs="Calibri"/>
                <w:color w:val="000000"/>
                <w:sz w:val="22"/>
                <w:szCs w:val="22"/>
              </w:rPr>
            </w:pPr>
          </w:p>
        </w:tc>
      </w:tr>
      <w:tr w:rsidR="00354C9B" w:rsidRPr="00EF2937" w14:paraId="1EF614D7"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66FBB2A8" w14:textId="23F07419"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6.1</w:t>
            </w:r>
          </w:p>
        </w:tc>
        <w:tc>
          <w:tcPr>
            <w:tcW w:w="1468" w:type="dxa"/>
            <w:tcBorders>
              <w:top w:val="nil"/>
              <w:left w:val="nil"/>
              <w:bottom w:val="single" w:sz="4" w:space="0" w:color="auto"/>
              <w:right w:val="single" w:sz="4" w:space="0" w:color="auto"/>
            </w:tcBorders>
            <w:shd w:val="clear" w:color="auto" w:fill="auto"/>
            <w:noWrap/>
          </w:tcPr>
          <w:p w14:paraId="6101B896" w14:textId="10A8D9A4"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All</w:t>
            </w:r>
          </w:p>
        </w:tc>
        <w:tc>
          <w:tcPr>
            <w:tcW w:w="2324" w:type="dxa"/>
            <w:tcBorders>
              <w:top w:val="nil"/>
              <w:left w:val="nil"/>
              <w:bottom w:val="single" w:sz="4" w:space="0" w:color="auto"/>
              <w:right w:val="single" w:sz="4" w:space="0" w:color="auto"/>
            </w:tcBorders>
            <w:shd w:val="clear" w:color="auto" w:fill="auto"/>
          </w:tcPr>
          <w:p w14:paraId="1A133F5E" w14:textId="77777777" w:rsidR="00354C9B" w:rsidRPr="00EF2937" w:rsidRDefault="00354C9B" w:rsidP="00354C9B">
            <w:pPr>
              <w:pStyle w:val="NormalWeb"/>
              <w:rPr>
                <w:rFonts w:ascii="Century Gothic" w:hAnsi="Century Gothic"/>
                <w:sz w:val="22"/>
                <w:szCs w:val="22"/>
              </w:rPr>
            </w:pPr>
          </w:p>
        </w:tc>
        <w:tc>
          <w:tcPr>
            <w:tcW w:w="4622" w:type="dxa"/>
            <w:tcBorders>
              <w:top w:val="nil"/>
              <w:left w:val="nil"/>
              <w:bottom w:val="single" w:sz="4" w:space="0" w:color="auto"/>
              <w:right w:val="single" w:sz="4" w:space="0" w:color="auto"/>
            </w:tcBorders>
            <w:shd w:val="clear" w:color="auto" w:fill="auto"/>
          </w:tcPr>
          <w:p w14:paraId="6F72A9B3" w14:textId="58D4E8DE"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 xml:space="preserve">This section appears under “6 Management”, section 6.1 however covers explanation/causes of tinnitus rather than management. It then jumps to section “6.2 Sound </w:t>
            </w:r>
            <w:r w:rsidR="00A70BC8" w:rsidRPr="00EF2937">
              <w:rPr>
                <w:rFonts w:ascii="Century Gothic" w:hAnsi="Century Gothic" w:cs="Calibri"/>
                <w:sz w:val="22"/>
                <w:szCs w:val="22"/>
              </w:rPr>
              <w:t>therapy</w:t>
            </w:r>
            <w:r w:rsidRPr="00EF2937">
              <w:rPr>
                <w:rFonts w:ascii="Century Gothic" w:hAnsi="Century Gothic" w:cs="Calibri"/>
                <w:sz w:val="22"/>
                <w:szCs w:val="22"/>
              </w:rPr>
              <w:t>”</w:t>
            </w:r>
            <w:r w:rsidR="00A70BC8">
              <w:rPr>
                <w:rFonts w:ascii="Century Gothic" w:hAnsi="Century Gothic" w:cs="Calibri"/>
                <w:sz w:val="22"/>
                <w:szCs w:val="22"/>
              </w:rPr>
              <w:t xml:space="preserve">. It might be beneficial to review headings. </w:t>
            </w:r>
          </w:p>
        </w:tc>
        <w:tc>
          <w:tcPr>
            <w:tcW w:w="4252" w:type="dxa"/>
            <w:tcBorders>
              <w:top w:val="nil"/>
              <w:left w:val="nil"/>
              <w:bottom w:val="single" w:sz="4" w:space="0" w:color="auto"/>
              <w:right w:val="single" w:sz="4" w:space="0" w:color="auto"/>
            </w:tcBorders>
            <w:shd w:val="clear" w:color="auto" w:fill="auto"/>
            <w:noWrap/>
          </w:tcPr>
          <w:p w14:paraId="1CE52CD8" w14:textId="77777777" w:rsidR="00354C9B" w:rsidRPr="00EF2937" w:rsidRDefault="00354C9B" w:rsidP="00354C9B">
            <w:pPr>
              <w:rPr>
                <w:rFonts w:ascii="Century Gothic" w:hAnsi="Century Gothic" w:cs="Calibri"/>
                <w:color w:val="000000"/>
                <w:sz w:val="22"/>
                <w:szCs w:val="22"/>
              </w:rPr>
            </w:pPr>
          </w:p>
        </w:tc>
      </w:tr>
      <w:tr w:rsidR="00354C9B" w:rsidRPr="00EF2937" w14:paraId="591EA642"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6F5E1316" w14:textId="33DD9C1E"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6.2</w:t>
            </w:r>
          </w:p>
        </w:tc>
        <w:tc>
          <w:tcPr>
            <w:tcW w:w="1468" w:type="dxa"/>
            <w:tcBorders>
              <w:top w:val="nil"/>
              <w:left w:val="nil"/>
              <w:bottom w:val="single" w:sz="4" w:space="0" w:color="auto"/>
              <w:right w:val="single" w:sz="4" w:space="0" w:color="auto"/>
            </w:tcBorders>
            <w:shd w:val="clear" w:color="auto" w:fill="auto"/>
            <w:noWrap/>
          </w:tcPr>
          <w:p w14:paraId="070F2530" w14:textId="77777777" w:rsidR="00354C9B" w:rsidRPr="00EF2937" w:rsidRDefault="00354C9B" w:rsidP="00354C9B">
            <w:pPr>
              <w:rPr>
                <w:rFonts w:ascii="Century Gothic" w:hAnsi="Century Gothic" w:cs="Calibri"/>
                <w:sz w:val="22"/>
                <w:szCs w:val="22"/>
              </w:rPr>
            </w:pPr>
          </w:p>
        </w:tc>
        <w:tc>
          <w:tcPr>
            <w:tcW w:w="2324" w:type="dxa"/>
            <w:tcBorders>
              <w:top w:val="nil"/>
              <w:left w:val="nil"/>
              <w:bottom w:val="single" w:sz="4" w:space="0" w:color="auto"/>
              <w:right w:val="single" w:sz="4" w:space="0" w:color="auto"/>
            </w:tcBorders>
            <w:shd w:val="clear" w:color="auto" w:fill="auto"/>
          </w:tcPr>
          <w:p w14:paraId="6B124F04" w14:textId="003685B8"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 xml:space="preserve">Sound therapy all </w:t>
            </w:r>
          </w:p>
        </w:tc>
        <w:tc>
          <w:tcPr>
            <w:tcW w:w="4622" w:type="dxa"/>
            <w:tcBorders>
              <w:top w:val="nil"/>
              <w:left w:val="nil"/>
              <w:bottom w:val="single" w:sz="4" w:space="0" w:color="auto"/>
              <w:right w:val="single" w:sz="4" w:space="0" w:color="auto"/>
            </w:tcBorders>
            <w:shd w:val="clear" w:color="auto" w:fill="auto"/>
          </w:tcPr>
          <w:p w14:paraId="66619FAC" w14:textId="77777777" w:rsidR="00A70BC8" w:rsidRDefault="00A70BC8" w:rsidP="00A70BC8">
            <w:pPr>
              <w:rPr>
                <w:rFonts w:ascii="Century Gothic" w:hAnsi="Century Gothic"/>
              </w:rPr>
            </w:pPr>
            <w:r w:rsidRPr="00DF058C">
              <w:rPr>
                <w:rFonts w:ascii="Century Gothic" w:hAnsi="Century Gothic" w:cs="Calibri"/>
                <w:sz w:val="22"/>
                <w:szCs w:val="22"/>
              </w:rPr>
              <w:t xml:space="preserve">It would be helpful to check this against the final NICE guideline, </w:t>
            </w:r>
            <w:hyperlink r:id="rId16" w:history="1">
              <w:r w:rsidRPr="00DF058C">
                <w:rPr>
                  <w:rStyle w:val="Hyperlink"/>
                  <w:rFonts w:ascii="Century Gothic" w:hAnsi="Century Gothic" w:cs="Calibri"/>
                  <w:sz w:val="22"/>
                  <w:szCs w:val="22"/>
                </w:rPr>
                <w:t>Tinnitus: assessment and management</w:t>
              </w:r>
            </w:hyperlink>
            <w:r>
              <w:rPr>
                <w:rStyle w:val="Hyperlink"/>
                <w:rFonts w:ascii="Century Gothic" w:hAnsi="Century Gothic" w:cs="Calibri"/>
                <w:sz w:val="22"/>
                <w:szCs w:val="22"/>
              </w:rPr>
              <w:t xml:space="preserve"> </w:t>
            </w:r>
          </w:p>
          <w:p w14:paraId="386E4F94" w14:textId="2130A4F2" w:rsidR="00354C9B" w:rsidRPr="00EF2937" w:rsidRDefault="00A70BC8" w:rsidP="00A70BC8">
            <w:pPr>
              <w:rPr>
                <w:rFonts w:ascii="Century Gothic" w:hAnsi="Century Gothic" w:cs="Calibri"/>
                <w:sz w:val="22"/>
                <w:szCs w:val="22"/>
              </w:rPr>
            </w:pPr>
            <w:r w:rsidRPr="00DF058C">
              <w:rPr>
                <w:rFonts w:ascii="Century Gothic" w:hAnsi="Century Gothic"/>
                <w:sz w:val="22"/>
                <w:szCs w:val="22"/>
              </w:rPr>
              <w:t>to ensure there is consistency</w:t>
            </w:r>
            <w:r>
              <w:rPr>
                <w:rFonts w:ascii="Century Gothic" w:hAnsi="Century Gothic"/>
                <w:sz w:val="22"/>
                <w:szCs w:val="22"/>
              </w:rPr>
              <w:t xml:space="preserve"> in analysis of the evidence base</w:t>
            </w:r>
          </w:p>
        </w:tc>
        <w:tc>
          <w:tcPr>
            <w:tcW w:w="4252" w:type="dxa"/>
            <w:tcBorders>
              <w:top w:val="nil"/>
              <w:left w:val="nil"/>
              <w:bottom w:val="single" w:sz="4" w:space="0" w:color="auto"/>
              <w:right w:val="single" w:sz="4" w:space="0" w:color="auto"/>
            </w:tcBorders>
            <w:shd w:val="clear" w:color="auto" w:fill="auto"/>
            <w:noWrap/>
          </w:tcPr>
          <w:p w14:paraId="7AEFB5CE" w14:textId="77777777" w:rsidR="00354C9B" w:rsidRPr="00EF2937" w:rsidRDefault="00354C9B" w:rsidP="00354C9B">
            <w:pPr>
              <w:rPr>
                <w:rFonts w:ascii="Century Gothic" w:hAnsi="Century Gothic" w:cs="Calibri"/>
                <w:color w:val="000000"/>
                <w:sz w:val="22"/>
                <w:szCs w:val="22"/>
              </w:rPr>
            </w:pPr>
          </w:p>
        </w:tc>
      </w:tr>
      <w:tr w:rsidR="00354C9B" w:rsidRPr="00EF2937" w14:paraId="69F8E224"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57919BDB" w14:textId="619D78C7"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6.2.5</w:t>
            </w:r>
          </w:p>
        </w:tc>
        <w:tc>
          <w:tcPr>
            <w:tcW w:w="1468" w:type="dxa"/>
            <w:tcBorders>
              <w:top w:val="nil"/>
              <w:left w:val="nil"/>
              <w:bottom w:val="single" w:sz="4" w:space="0" w:color="auto"/>
              <w:right w:val="single" w:sz="4" w:space="0" w:color="auto"/>
            </w:tcBorders>
            <w:shd w:val="clear" w:color="auto" w:fill="auto"/>
            <w:noWrap/>
          </w:tcPr>
          <w:p w14:paraId="0814F528" w14:textId="7BB62C05"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867-877</w:t>
            </w:r>
          </w:p>
        </w:tc>
        <w:tc>
          <w:tcPr>
            <w:tcW w:w="2324" w:type="dxa"/>
            <w:tcBorders>
              <w:top w:val="nil"/>
              <w:left w:val="nil"/>
              <w:bottom w:val="single" w:sz="4" w:space="0" w:color="auto"/>
              <w:right w:val="single" w:sz="4" w:space="0" w:color="auto"/>
            </w:tcBorders>
            <w:shd w:val="clear" w:color="auto" w:fill="auto"/>
          </w:tcPr>
          <w:p w14:paraId="270DB5C8" w14:textId="3E13802E"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Hearing aids for tinnitus and hearing loss</w:t>
            </w:r>
          </w:p>
        </w:tc>
        <w:tc>
          <w:tcPr>
            <w:tcW w:w="4622" w:type="dxa"/>
            <w:tcBorders>
              <w:top w:val="nil"/>
              <w:left w:val="nil"/>
              <w:bottom w:val="single" w:sz="4" w:space="0" w:color="auto"/>
              <w:right w:val="single" w:sz="4" w:space="0" w:color="auto"/>
            </w:tcBorders>
            <w:shd w:val="clear" w:color="auto" w:fill="auto"/>
          </w:tcPr>
          <w:p w14:paraId="1C23474E" w14:textId="34F1FEF5"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Spell out the prevalence of hearing loss and tinnitus and how this most these patients will for example be seen via NG98 and not tinnitus guideline by NICE</w:t>
            </w:r>
            <w:r w:rsidR="001D3B07">
              <w:rPr>
                <w:rFonts w:ascii="Century Gothic" w:hAnsi="Century Gothic" w:cs="Calibri"/>
                <w:sz w:val="22"/>
                <w:szCs w:val="22"/>
              </w:rPr>
              <w:t xml:space="preserve">. This is an importance </w:t>
            </w:r>
            <w:r w:rsidRPr="00EF2937">
              <w:rPr>
                <w:rFonts w:ascii="Century Gothic" w:hAnsi="Century Gothic" w:cs="Calibri"/>
                <w:sz w:val="22"/>
                <w:szCs w:val="22"/>
              </w:rPr>
              <w:t>nuance lost here and elsewhere</w:t>
            </w:r>
            <w:r w:rsidR="001D3B07">
              <w:rPr>
                <w:rFonts w:ascii="Century Gothic" w:hAnsi="Century Gothic" w:cs="Calibri"/>
                <w:sz w:val="22"/>
                <w:szCs w:val="22"/>
              </w:rPr>
              <w:t xml:space="preserve">. </w:t>
            </w:r>
          </w:p>
          <w:p w14:paraId="5403809D" w14:textId="77E15FC0" w:rsidR="00354C9B" w:rsidRPr="00EF2937" w:rsidRDefault="00354C9B" w:rsidP="00354C9B">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2569E167" w14:textId="77777777" w:rsidR="00354C9B" w:rsidRPr="00EF2937" w:rsidRDefault="00354C9B" w:rsidP="00354C9B">
            <w:pPr>
              <w:rPr>
                <w:rFonts w:ascii="Century Gothic" w:hAnsi="Century Gothic" w:cs="Calibri"/>
                <w:color w:val="000000"/>
                <w:sz w:val="22"/>
                <w:szCs w:val="22"/>
              </w:rPr>
            </w:pPr>
          </w:p>
        </w:tc>
      </w:tr>
      <w:tr w:rsidR="00B24497" w:rsidRPr="00EF2937" w14:paraId="100F2FEE"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1930BEA0" w14:textId="20AEB463" w:rsidR="00B24497" w:rsidRPr="00EF2937" w:rsidRDefault="00B24497" w:rsidP="00B24497">
            <w:pPr>
              <w:rPr>
                <w:rFonts w:ascii="Century Gothic" w:hAnsi="Century Gothic" w:cs="Calibri"/>
                <w:sz w:val="22"/>
                <w:szCs w:val="22"/>
              </w:rPr>
            </w:pPr>
            <w:r w:rsidRPr="00EF2937">
              <w:rPr>
                <w:rFonts w:ascii="Century Gothic" w:hAnsi="Century Gothic" w:cs="Calibri"/>
                <w:sz w:val="22"/>
                <w:szCs w:val="22"/>
              </w:rPr>
              <w:lastRenderedPageBreak/>
              <w:t>6.2.5</w:t>
            </w:r>
          </w:p>
        </w:tc>
        <w:tc>
          <w:tcPr>
            <w:tcW w:w="1468" w:type="dxa"/>
            <w:tcBorders>
              <w:top w:val="nil"/>
              <w:left w:val="nil"/>
              <w:bottom w:val="single" w:sz="4" w:space="0" w:color="auto"/>
              <w:right w:val="single" w:sz="4" w:space="0" w:color="auto"/>
            </w:tcBorders>
            <w:shd w:val="clear" w:color="auto" w:fill="auto"/>
            <w:noWrap/>
          </w:tcPr>
          <w:p w14:paraId="7E0DC1C2" w14:textId="69672E3F" w:rsidR="00B24497" w:rsidRPr="00EF2937" w:rsidRDefault="00B24497" w:rsidP="00B24497">
            <w:pPr>
              <w:rPr>
                <w:rFonts w:ascii="Century Gothic" w:hAnsi="Century Gothic" w:cs="Calibri"/>
                <w:sz w:val="22"/>
                <w:szCs w:val="22"/>
              </w:rPr>
            </w:pPr>
            <w:r w:rsidRPr="00EF2937">
              <w:rPr>
                <w:rFonts w:ascii="Century Gothic" w:hAnsi="Century Gothic" w:cs="Calibri"/>
                <w:sz w:val="22"/>
                <w:szCs w:val="22"/>
              </w:rPr>
              <w:t>906</w:t>
            </w:r>
          </w:p>
        </w:tc>
        <w:tc>
          <w:tcPr>
            <w:tcW w:w="2324" w:type="dxa"/>
            <w:tcBorders>
              <w:top w:val="nil"/>
              <w:left w:val="nil"/>
              <w:bottom w:val="single" w:sz="4" w:space="0" w:color="auto"/>
              <w:right w:val="single" w:sz="4" w:space="0" w:color="auto"/>
            </w:tcBorders>
            <w:shd w:val="clear" w:color="auto" w:fill="auto"/>
          </w:tcPr>
          <w:p w14:paraId="70CF342C" w14:textId="52F73F54" w:rsidR="00B24497" w:rsidRPr="00EF2937" w:rsidRDefault="00B24497" w:rsidP="00B24497">
            <w:pPr>
              <w:pStyle w:val="NormalWeb"/>
              <w:rPr>
                <w:rFonts w:ascii="Century Gothic" w:hAnsi="Century Gothic"/>
                <w:sz w:val="22"/>
                <w:szCs w:val="22"/>
              </w:rPr>
            </w:pPr>
            <w:r w:rsidRPr="00EF2937">
              <w:rPr>
                <w:rFonts w:ascii="Century Gothic" w:hAnsi="Century Gothic"/>
                <w:sz w:val="22"/>
                <w:szCs w:val="22"/>
              </w:rPr>
              <w:t xml:space="preserve">Asymmetric hearing loss </w:t>
            </w:r>
          </w:p>
        </w:tc>
        <w:tc>
          <w:tcPr>
            <w:tcW w:w="4622" w:type="dxa"/>
            <w:tcBorders>
              <w:top w:val="nil"/>
              <w:left w:val="nil"/>
              <w:bottom w:val="single" w:sz="4" w:space="0" w:color="auto"/>
              <w:right w:val="single" w:sz="4" w:space="0" w:color="auto"/>
            </w:tcBorders>
            <w:shd w:val="clear" w:color="auto" w:fill="auto"/>
          </w:tcPr>
          <w:p w14:paraId="55A64478" w14:textId="77777777" w:rsidR="00B24497" w:rsidRDefault="00B24497" w:rsidP="00B24497">
            <w:pPr>
              <w:rPr>
                <w:rFonts w:ascii="Century Gothic" w:hAnsi="Century Gothic" w:cs="Calibri"/>
                <w:sz w:val="22"/>
                <w:szCs w:val="22"/>
              </w:rPr>
            </w:pPr>
            <w:r>
              <w:rPr>
                <w:rFonts w:ascii="Century Gothic" w:hAnsi="Century Gothic" w:cs="Calibri"/>
                <w:sz w:val="22"/>
                <w:szCs w:val="22"/>
              </w:rPr>
              <w:t xml:space="preserve">Please see our comments above re asymmetric hearing loss. </w:t>
            </w:r>
          </w:p>
          <w:p w14:paraId="58117032" w14:textId="6EBFF852" w:rsidR="00B24497" w:rsidRPr="00EF2937" w:rsidRDefault="00B24497" w:rsidP="00B24497">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300A23E1" w14:textId="5D1859E2" w:rsidR="00B24497" w:rsidRPr="00EF2937" w:rsidRDefault="00B24497" w:rsidP="00B24497">
            <w:pPr>
              <w:rPr>
                <w:rFonts w:ascii="Century Gothic" w:hAnsi="Century Gothic" w:cs="Calibri"/>
                <w:color w:val="000000"/>
                <w:sz w:val="22"/>
                <w:szCs w:val="22"/>
              </w:rPr>
            </w:pPr>
            <w:r>
              <w:rPr>
                <w:rFonts w:ascii="Century Gothic" w:hAnsi="Century Gothic" w:cs="Calibri"/>
                <w:color w:val="000000"/>
                <w:sz w:val="22"/>
                <w:szCs w:val="22"/>
              </w:rPr>
              <w:t>“</w:t>
            </w:r>
            <w:r>
              <w:rPr>
                <w:rFonts w:ascii="Century Gothic" w:hAnsi="Century Gothic" w:cs="Calibri"/>
                <w:color w:val="000000"/>
                <w:sz w:val="22"/>
                <w:szCs w:val="22"/>
              </w:rPr>
              <w:t>C</w:t>
            </w:r>
            <w:r>
              <w:rPr>
                <w:rFonts w:ascii="Century Gothic" w:hAnsi="Century Gothic" w:cs="Calibri"/>
                <w:color w:val="000000"/>
                <w:sz w:val="22"/>
                <w:szCs w:val="22"/>
              </w:rPr>
              <w:t>linically significant asymmetric hearing loss”</w:t>
            </w:r>
          </w:p>
        </w:tc>
      </w:tr>
      <w:tr w:rsidR="00354C9B" w:rsidRPr="00EF2937" w14:paraId="15B24B5D"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1F826BE2" w14:textId="6176CB9C"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6.5</w:t>
            </w:r>
          </w:p>
        </w:tc>
        <w:tc>
          <w:tcPr>
            <w:tcW w:w="1468" w:type="dxa"/>
            <w:tcBorders>
              <w:top w:val="nil"/>
              <w:left w:val="nil"/>
              <w:bottom w:val="single" w:sz="4" w:space="0" w:color="auto"/>
              <w:right w:val="single" w:sz="4" w:space="0" w:color="auto"/>
            </w:tcBorders>
            <w:shd w:val="clear" w:color="auto" w:fill="auto"/>
            <w:noWrap/>
          </w:tcPr>
          <w:p w14:paraId="697191D8" w14:textId="1AFBAD1F"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1047-1076</w:t>
            </w:r>
          </w:p>
        </w:tc>
        <w:tc>
          <w:tcPr>
            <w:tcW w:w="2324" w:type="dxa"/>
            <w:tcBorders>
              <w:top w:val="nil"/>
              <w:left w:val="nil"/>
              <w:bottom w:val="single" w:sz="4" w:space="0" w:color="auto"/>
              <w:right w:val="single" w:sz="4" w:space="0" w:color="auto"/>
            </w:tcBorders>
            <w:shd w:val="clear" w:color="auto" w:fill="auto"/>
          </w:tcPr>
          <w:p w14:paraId="44F4F604" w14:textId="1D55474B"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CBT</w:t>
            </w:r>
          </w:p>
        </w:tc>
        <w:tc>
          <w:tcPr>
            <w:tcW w:w="4622" w:type="dxa"/>
            <w:tcBorders>
              <w:top w:val="nil"/>
              <w:left w:val="nil"/>
              <w:bottom w:val="single" w:sz="4" w:space="0" w:color="auto"/>
              <w:right w:val="single" w:sz="4" w:space="0" w:color="auto"/>
            </w:tcBorders>
            <w:shd w:val="clear" w:color="auto" w:fill="auto"/>
          </w:tcPr>
          <w:p w14:paraId="4DC0B5BF" w14:textId="77777777" w:rsidR="00B24497" w:rsidRDefault="00B24497" w:rsidP="00B24497">
            <w:pPr>
              <w:rPr>
                <w:rFonts w:ascii="Century Gothic" w:hAnsi="Century Gothic"/>
              </w:rPr>
            </w:pPr>
            <w:r w:rsidRPr="00DF058C">
              <w:rPr>
                <w:rFonts w:ascii="Century Gothic" w:hAnsi="Century Gothic" w:cs="Calibri"/>
                <w:sz w:val="22"/>
                <w:szCs w:val="22"/>
              </w:rPr>
              <w:t xml:space="preserve">It would be helpful to check this against the final NICE guideline, </w:t>
            </w:r>
            <w:hyperlink r:id="rId17" w:history="1">
              <w:r w:rsidRPr="00DF058C">
                <w:rPr>
                  <w:rStyle w:val="Hyperlink"/>
                  <w:rFonts w:ascii="Century Gothic" w:hAnsi="Century Gothic" w:cs="Calibri"/>
                  <w:sz w:val="22"/>
                  <w:szCs w:val="22"/>
                </w:rPr>
                <w:t>Tinnitus: assessment and management</w:t>
              </w:r>
            </w:hyperlink>
            <w:r>
              <w:rPr>
                <w:rStyle w:val="Hyperlink"/>
                <w:rFonts w:ascii="Century Gothic" w:hAnsi="Century Gothic" w:cs="Calibri"/>
                <w:sz w:val="22"/>
                <w:szCs w:val="22"/>
              </w:rPr>
              <w:t xml:space="preserve"> </w:t>
            </w:r>
          </w:p>
          <w:p w14:paraId="048EDC89" w14:textId="7509302F" w:rsidR="00354C9B" w:rsidRPr="00EF2937" w:rsidRDefault="00B24497" w:rsidP="00B24497">
            <w:pPr>
              <w:rPr>
                <w:rFonts w:ascii="Century Gothic" w:hAnsi="Century Gothic" w:cs="Calibri"/>
                <w:sz w:val="22"/>
                <w:szCs w:val="22"/>
              </w:rPr>
            </w:pPr>
            <w:r w:rsidRPr="00DF058C">
              <w:rPr>
                <w:rFonts w:ascii="Century Gothic" w:hAnsi="Century Gothic"/>
                <w:sz w:val="22"/>
                <w:szCs w:val="22"/>
              </w:rPr>
              <w:t>to ensure there is consistency</w:t>
            </w:r>
            <w:r>
              <w:rPr>
                <w:rFonts w:ascii="Century Gothic" w:hAnsi="Century Gothic"/>
                <w:sz w:val="22"/>
                <w:szCs w:val="22"/>
              </w:rPr>
              <w:t xml:space="preserve"> in analysis of the evidence base</w:t>
            </w:r>
          </w:p>
        </w:tc>
        <w:tc>
          <w:tcPr>
            <w:tcW w:w="4252" w:type="dxa"/>
            <w:tcBorders>
              <w:top w:val="nil"/>
              <w:left w:val="nil"/>
              <w:bottom w:val="single" w:sz="4" w:space="0" w:color="auto"/>
              <w:right w:val="single" w:sz="4" w:space="0" w:color="auto"/>
            </w:tcBorders>
            <w:shd w:val="clear" w:color="auto" w:fill="auto"/>
            <w:noWrap/>
          </w:tcPr>
          <w:p w14:paraId="77AF2884" w14:textId="77777777" w:rsidR="00354C9B" w:rsidRPr="00EF2937" w:rsidRDefault="00354C9B" w:rsidP="00354C9B">
            <w:pPr>
              <w:rPr>
                <w:rFonts w:ascii="Century Gothic" w:hAnsi="Century Gothic" w:cs="Calibri"/>
                <w:color w:val="000000"/>
                <w:sz w:val="22"/>
                <w:szCs w:val="22"/>
              </w:rPr>
            </w:pPr>
          </w:p>
        </w:tc>
      </w:tr>
      <w:tr w:rsidR="00354C9B" w:rsidRPr="00EF2937" w14:paraId="5C1493B1"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72A5FD0C" w14:textId="77E67977"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6.7</w:t>
            </w:r>
          </w:p>
        </w:tc>
        <w:tc>
          <w:tcPr>
            <w:tcW w:w="1468" w:type="dxa"/>
            <w:tcBorders>
              <w:top w:val="nil"/>
              <w:left w:val="nil"/>
              <w:bottom w:val="single" w:sz="4" w:space="0" w:color="auto"/>
              <w:right w:val="single" w:sz="4" w:space="0" w:color="auto"/>
            </w:tcBorders>
            <w:shd w:val="clear" w:color="auto" w:fill="auto"/>
            <w:noWrap/>
          </w:tcPr>
          <w:p w14:paraId="64E9A7FF" w14:textId="3D05CAAC"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1122-1123</w:t>
            </w:r>
          </w:p>
        </w:tc>
        <w:tc>
          <w:tcPr>
            <w:tcW w:w="2324" w:type="dxa"/>
            <w:tcBorders>
              <w:top w:val="nil"/>
              <w:left w:val="nil"/>
              <w:bottom w:val="single" w:sz="4" w:space="0" w:color="auto"/>
              <w:right w:val="single" w:sz="4" w:space="0" w:color="auto"/>
            </w:tcBorders>
            <w:shd w:val="clear" w:color="auto" w:fill="auto"/>
          </w:tcPr>
          <w:p w14:paraId="383A8612" w14:textId="446F4E64"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 xml:space="preserve">who are certified members of the Information </w:t>
            </w:r>
            <w:proofErr w:type="gramStart"/>
            <w:r w:rsidRPr="00EF2937">
              <w:rPr>
                <w:rFonts w:ascii="Century Gothic" w:hAnsi="Century Gothic"/>
                <w:sz w:val="22"/>
                <w:szCs w:val="22"/>
              </w:rPr>
              <w:t>Standard</w:t>
            </w:r>
            <w:proofErr w:type="gramEnd"/>
          </w:p>
          <w:p w14:paraId="72DEDE8A" w14:textId="77777777" w:rsidR="00354C9B" w:rsidRPr="00EF2937" w:rsidRDefault="00354C9B" w:rsidP="00354C9B">
            <w:pPr>
              <w:pStyle w:val="NormalWeb"/>
              <w:rPr>
                <w:rFonts w:ascii="Century Gothic" w:hAnsi="Century Gothic"/>
                <w:sz w:val="22"/>
                <w:szCs w:val="22"/>
              </w:rPr>
            </w:pPr>
          </w:p>
        </w:tc>
        <w:tc>
          <w:tcPr>
            <w:tcW w:w="4622" w:type="dxa"/>
            <w:tcBorders>
              <w:top w:val="nil"/>
              <w:left w:val="nil"/>
              <w:bottom w:val="single" w:sz="4" w:space="0" w:color="auto"/>
              <w:right w:val="single" w:sz="4" w:space="0" w:color="auto"/>
            </w:tcBorders>
            <w:shd w:val="clear" w:color="auto" w:fill="auto"/>
          </w:tcPr>
          <w:p w14:paraId="4143D978" w14:textId="7777DF0D" w:rsidR="00354C9B" w:rsidRPr="00EF2937" w:rsidRDefault="00B24497" w:rsidP="00354C9B">
            <w:pPr>
              <w:rPr>
                <w:rFonts w:ascii="Century Gothic" w:hAnsi="Century Gothic"/>
                <w:sz w:val="22"/>
                <w:szCs w:val="22"/>
              </w:rPr>
            </w:pPr>
            <w:r>
              <w:rPr>
                <w:rFonts w:ascii="Century Gothic" w:hAnsi="Century Gothic" w:cs="Calibri"/>
                <w:sz w:val="22"/>
                <w:szCs w:val="22"/>
              </w:rPr>
              <w:t xml:space="preserve">Our understanding was that the Information Standard is being decommissioned -  </w:t>
            </w:r>
            <w:hyperlink r:id="rId18" w:history="1">
              <w:r w:rsidR="00354C9B" w:rsidRPr="00EF2937">
                <w:rPr>
                  <w:rStyle w:val="Hyperlink"/>
                  <w:rFonts w:ascii="Century Gothic" w:hAnsi="Century Gothic"/>
                  <w:sz w:val="22"/>
                  <w:szCs w:val="22"/>
                </w:rPr>
                <w:t>https://www.england.nhs.uk/tis/about/</w:t>
              </w:r>
            </w:hyperlink>
          </w:p>
          <w:p w14:paraId="6B0C4C77" w14:textId="24873BC7" w:rsidR="00354C9B" w:rsidRPr="00EF2937" w:rsidRDefault="00354C9B" w:rsidP="00354C9B">
            <w:pPr>
              <w:rPr>
                <w:rFonts w:ascii="Century Gothic" w:hAnsi="Century Gothic" w:cs="Calibri"/>
                <w:sz w:val="22"/>
                <w:szCs w:val="22"/>
              </w:rPr>
            </w:pPr>
          </w:p>
        </w:tc>
        <w:tc>
          <w:tcPr>
            <w:tcW w:w="4252" w:type="dxa"/>
            <w:tcBorders>
              <w:top w:val="nil"/>
              <w:left w:val="nil"/>
              <w:bottom w:val="single" w:sz="4" w:space="0" w:color="auto"/>
              <w:right w:val="single" w:sz="4" w:space="0" w:color="auto"/>
            </w:tcBorders>
            <w:shd w:val="clear" w:color="auto" w:fill="auto"/>
            <w:noWrap/>
          </w:tcPr>
          <w:p w14:paraId="51DE66A4" w14:textId="77777777" w:rsidR="00354C9B" w:rsidRPr="00EF2937" w:rsidRDefault="00354C9B" w:rsidP="00354C9B">
            <w:pPr>
              <w:rPr>
                <w:rFonts w:ascii="Century Gothic" w:hAnsi="Century Gothic" w:cs="Calibri"/>
                <w:color w:val="000000"/>
                <w:sz w:val="22"/>
                <w:szCs w:val="22"/>
              </w:rPr>
            </w:pPr>
          </w:p>
        </w:tc>
      </w:tr>
      <w:tr w:rsidR="00354C9B" w:rsidRPr="00EF2937" w14:paraId="06B4D59D"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76F437BC" w14:textId="5E2C1BFD"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6.8</w:t>
            </w:r>
          </w:p>
        </w:tc>
        <w:tc>
          <w:tcPr>
            <w:tcW w:w="1468" w:type="dxa"/>
            <w:tcBorders>
              <w:top w:val="nil"/>
              <w:left w:val="nil"/>
              <w:bottom w:val="single" w:sz="4" w:space="0" w:color="auto"/>
              <w:right w:val="single" w:sz="4" w:space="0" w:color="auto"/>
            </w:tcBorders>
            <w:shd w:val="clear" w:color="auto" w:fill="auto"/>
            <w:noWrap/>
          </w:tcPr>
          <w:p w14:paraId="120B2D46" w14:textId="77777777" w:rsidR="00354C9B" w:rsidRPr="00EF2937" w:rsidRDefault="00354C9B" w:rsidP="00354C9B">
            <w:pPr>
              <w:rPr>
                <w:rFonts w:ascii="Century Gothic" w:hAnsi="Century Gothic" w:cs="Calibri"/>
                <w:sz w:val="22"/>
                <w:szCs w:val="22"/>
              </w:rPr>
            </w:pPr>
          </w:p>
        </w:tc>
        <w:tc>
          <w:tcPr>
            <w:tcW w:w="2324" w:type="dxa"/>
            <w:tcBorders>
              <w:top w:val="nil"/>
              <w:left w:val="nil"/>
              <w:bottom w:val="single" w:sz="4" w:space="0" w:color="auto"/>
              <w:right w:val="single" w:sz="4" w:space="0" w:color="auto"/>
            </w:tcBorders>
            <w:shd w:val="clear" w:color="auto" w:fill="auto"/>
          </w:tcPr>
          <w:p w14:paraId="51D48137" w14:textId="16253424" w:rsidR="00354C9B" w:rsidRPr="00EF2937" w:rsidRDefault="00354C9B" w:rsidP="00354C9B">
            <w:pPr>
              <w:pStyle w:val="NormalWeb"/>
              <w:rPr>
                <w:rFonts w:ascii="Century Gothic" w:hAnsi="Century Gothic"/>
                <w:sz w:val="22"/>
                <w:szCs w:val="22"/>
              </w:rPr>
            </w:pPr>
            <w:r w:rsidRPr="00EF2937">
              <w:rPr>
                <w:rFonts w:ascii="Century Gothic" w:hAnsi="Century Gothic"/>
                <w:sz w:val="22"/>
                <w:szCs w:val="22"/>
              </w:rPr>
              <w:t>“special population”</w:t>
            </w:r>
          </w:p>
        </w:tc>
        <w:tc>
          <w:tcPr>
            <w:tcW w:w="4622" w:type="dxa"/>
            <w:tcBorders>
              <w:top w:val="nil"/>
              <w:left w:val="nil"/>
              <w:bottom w:val="single" w:sz="4" w:space="0" w:color="auto"/>
              <w:right w:val="single" w:sz="4" w:space="0" w:color="auto"/>
            </w:tcBorders>
            <w:shd w:val="clear" w:color="auto" w:fill="auto"/>
          </w:tcPr>
          <w:p w14:paraId="606DE9F4" w14:textId="6D9F1E5A" w:rsidR="00354C9B" w:rsidRPr="00EF2937" w:rsidRDefault="00B24497" w:rsidP="00354C9B">
            <w:pPr>
              <w:rPr>
                <w:rFonts w:ascii="Century Gothic" w:hAnsi="Century Gothic" w:cs="Calibri"/>
                <w:sz w:val="22"/>
                <w:szCs w:val="22"/>
              </w:rPr>
            </w:pPr>
            <w:r>
              <w:rPr>
                <w:rFonts w:ascii="Century Gothic" w:hAnsi="Century Gothic" w:cs="Calibri"/>
                <w:sz w:val="22"/>
                <w:szCs w:val="22"/>
              </w:rPr>
              <w:t>It is not clear whether the u</w:t>
            </w:r>
            <w:r w:rsidR="00354C9B" w:rsidRPr="00EF2937">
              <w:rPr>
                <w:rFonts w:ascii="Century Gothic" w:hAnsi="Century Gothic" w:cs="Calibri"/>
                <w:sz w:val="22"/>
                <w:szCs w:val="22"/>
              </w:rPr>
              <w:t>se of “special</w:t>
            </w:r>
            <w:r>
              <w:rPr>
                <w:rFonts w:ascii="Century Gothic" w:hAnsi="Century Gothic" w:cs="Calibri"/>
                <w:sz w:val="22"/>
                <w:szCs w:val="22"/>
              </w:rPr>
              <w:t xml:space="preserve"> population</w:t>
            </w:r>
            <w:r w:rsidR="00354C9B" w:rsidRPr="00EF2937">
              <w:rPr>
                <w:rFonts w:ascii="Century Gothic" w:hAnsi="Century Gothic" w:cs="Calibri"/>
                <w:sz w:val="22"/>
                <w:szCs w:val="22"/>
              </w:rPr>
              <w:t xml:space="preserve">” </w:t>
            </w:r>
            <w:r>
              <w:rPr>
                <w:rFonts w:ascii="Century Gothic" w:hAnsi="Century Gothic" w:cs="Calibri"/>
                <w:sz w:val="22"/>
                <w:szCs w:val="22"/>
              </w:rPr>
              <w:t xml:space="preserve">is </w:t>
            </w:r>
            <w:r w:rsidR="00354C9B" w:rsidRPr="00EF2937">
              <w:rPr>
                <w:rFonts w:ascii="Century Gothic" w:hAnsi="Century Gothic" w:cs="Calibri"/>
                <w:sz w:val="22"/>
                <w:szCs w:val="22"/>
              </w:rPr>
              <w:t>appropriate</w:t>
            </w:r>
            <w:r>
              <w:rPr>
                <w:rFonts w:ascii="Century Gothic" w:hAnsi="Century Gothic" w:cs="Calibri"/>
                <w:sz w:val="22"/>
                <w:szCs w:val="22"/>
              </w:rPr>
              <w:t xml:space="preserve">/normal usage in the UK. It might be a US term. This might benefit from reframing/different typology. The BSA however can decide on the term used. </w:t>
            </w:r>
          </w:p>
        </w:tc>
        <w:tc>
          <w:tcPr>
            <w:tcW w:w="4252" w:type="dxa"/>
            <w:tcBorders>
              <w:top w:val="nil"/>
              <w:left w:val="nil"/>
              <w:bottom w:val="single" w:sz="4" w:space="0" w:color="auto"/>
              <w:right w:val="single" w:sz="4" w:space="0" w:color="auto"/>
            </w:tcBorders>
            <w:shd w:val="clear" w:color="auto" w:fill="auto"/>
            <w:noWrap/>
          </w:tcPr>
          <w:p w14:paraId="73B520B6" w14:textId="77777777" w:rsidR="00354C9B" w:rsidRPr="00EF2937" w:rsidRDefault="00354C9B" w:rsidP="00354C9B">
            <w:pPr>
              <w:rPr>
                <w:rFonts w:ascii="Century Gothic" w:hAnsi="Century Gothic" w:cs="Calibri"/>
                <w:color w:val="000000"/>
                <w:sz w:val="22"/>
                <w:szCs w:val="22"/>
              </w:rPr>
            </w:pPr>
          </w:p>
        </w:tc>
      </w:tr>
      <w:tr w:rsidR="00354C9B" w:rsidRPr="00EF2937" w14:paraId="1A85CBE8"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64CFA701" w14:textId="13A823F0"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10.1</w:t>
            </w:r>
          </w:p>
        </w:tc>
        <w:tc>
          <w:tcPr>
            <w:tcW w:w="1468" w:type="dxa"/>
            <w:tcBorders>
              <w:top w:val="nil"/>
              <w:left w:val="nil"/>
              <w:bottom w:val="single" w:sz="4" w:space="0" w:color="auto"/>
              <w:right w:val="single" w:sz="4" w:space="0" w:color="auto"/>
            </w:tcBorders>
            <w:shd w:val="clear" w:color="auto" w:fill="auto"/>
            <w:noWrap/>
          </w:tcPr>
          <w:p w14:paraId="0D46AD9A" w14:textId="59B7DB4E"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1310-1320</w:t>
            </w:r>
          </w:p>
        </w:tc>
        <w:tc>
          <w:tcPr>
            <w:tcW w:w="2324" w:type="dxa"/>
            <w:tcBorders>
              <w:top w:val="nil"/>
              <w:left w:val="nil"/>
              <w:bottom w:val="single" w:sz="4" w:space="0" w:color="auto"/>
              <w:right w:val="single" w:sz="4" w:space="0" w:color="auto"/>
            </w:tcBorders>
            <w:shd w:val="clear" w:color="auto" w:fill="auto"/>
          </w:tcPr>
          <w:p w14:paraId="6B7EB76C" w14:textId="77777777" w:rsidR="00354C9B" w:rsidRPr="00EF2937" w:rsidRDefault="00354C9B" w:rsidP="00354C9B">
            <w:pPr>
              <w:pStyle w:val="NormalWeb"/>
              <w:rPr>
                <w:rFonts w:ascii="Century Gothic" w:hAnsi="Century Gothic"/>
                <w:sz w:val="22"/>
                <w:szCs w:val="22"/>
              </w:rPr>
            </w:pPr>
          </w:p>
        </w:tc>
        <w:tc>
          <w:tcPr>
            <w:tcW w:w="4622" w:type="dxa"/>
            <w:tcBorders>
              <w:top w:val="nil"/>
              <w:left w:val="nil"/>
              <w:bottom w:val="single" w:sz="4" w:space="0" w:color="auto"/>
              <w:right w:val="single" w:sz="4" w:space="0" w:color="auto"/>
            </w:tcBorders>
            <w:shd w:val="clear" w:color="auto" w:fill="auto"/>
          </w:tcPr>
          <w:p w14:paraId="774F9933" w14:textId="6AA29BFC" w:rsidR="00354C9B" w:rsidRPr="00EF2937" w:rsidRDefault="00B24497" w:rsidP="00354C9B">
            <w:pPr>
              <w:rPr>
                <w:rFonts w:ascii="Century Gothic" w:hAnsi="Century Gothic" w:cs="Calibri"/>
                <w:sz w:val="22"/>
                <w:szCs w:val="22"/>
              </w:rPr>
            </w:pPr>
            <w:r>
              <w:rPr>
                <w:rFonts w:ascii="Century Gothic" w:hAnsi="Century Gothic" w:cs="Calibri"/>
                <w:sz w:val="22"/>
                <w:szCs w:val="22"/>
              </w:rPr>
              <w:t xml:space="preserve">We support ensuring healthcare professionals work within their scope of practice </w:t>
            </w:r>
            <w:proofErr w:type="gramStart"/>
            <w:r>
              <w:rPr>
                <w:rFonts w:ascii="Century Gothic" w:hAnsi="Century Gothic" w:cs="Calibri"/>
                <w:sz w:val="22"/>
                <w:szCs w:val="22"/>
              </w:rPr>
              <w:t>and also</w:t>
            </w:r>
            <w:proofErr w:type="gramEnd"/>
            <w:r>
              <w:rPr>
                <w:rFonts w:ascii="Century Gothic" w:hAnsi="Century Gothic" w:cs="Calibri"/>
                <w:sz w:val="22"/>
                <w:szCs w:val="22"/>
              </w:rPr>
              <w:t xml:space="preserve"> continue to develop their scope of practice via accredited routes as appropriate. </w:t>
            </w:r>
          </w:p>
        </w:tc>
        <w:tc>
          <w:tcPr>
            <w:tcW w:w="4252" w:type="dxa"/>
            <w:tcBorders>
              <w:top w:val="nil"/>
              <w:left w:val="nil"/>
              <w:bottom w:val="single" w:sz="4" w:space="0" w:color="auto"/>
              <w:right w:val="single" w:sz="4" w:space="0" w:color="auto"/>
            </w:tcBorders>
            <w:shd w:val="clear" w:color="auto" w:fill="auto"/>
            <w:noWrap/>
          </w:tcPr>
          <w:p w14:paraId="43B53A2E" w14:textId="77777777" w:rsidR="00354C9B" w:rsidRPr="00EF2937" w:rsidRDefault="00354C9B" w:rsidP="00354C9B">
            <w:pPr>
              <w:rPr>
                <w:rFonts w:ascii="Century Gothic" w:hAnsi="Century Gothic" w:cs="Calibri"/>
                <w:color w:val="000000"/>
                <w:sz w:val="22"/>
                <w:szCs w:val="22"/>
              </w:rPr>
            </w:pPr>
          </w:p>
        </w:tc>
      </w:tr>
      <w:tr w:rsidR="00354C9B" w:rsidRPr="00EF2937" w14:paraId="65EAF186" w14:textId="77777777" w:rsidTr="00EF2937">
        <w:trPr>
          <w:trHeight w:val="285"/>
        </w:trPr>
        <w:tc>
          <w:tcPr>
            <w:tcW w:w="1509" w:type="dxa"/>
            <w:tcBorders>
              <w:top w:val="nil"/>
              <w:left w:val="single" w:sz="4" w:space="0" w:color="auto"/>
              <w:bottom w:val="single" w:sz="4" w:space="0" w:color="auto"/>
              <w:right w:val="single" w:sz="4" w:space="0" w:color="auto"/>
            </w:tcBorders>
            <w:shd w:val="clear" w:color="auto" w:fill="auto"/>
            <w:noWrap/>
          </w:tcPr>
          <w:p w14:paraId="0CFD42AA" w14:textId="4BC4E764"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10.2</w:t>
            </w:r>
          </w:p>
        </w:tc>
        <w:tc>
          <w:tcPr>
            <w:tcW w:w="1468" w:type="dxa"/>
            <w:tcBorders>
              <w:top w:val="nil"/>
              <w:left w:val="nil"/>
              <w:bottom w:val="single" w:sz="4" w:space="0" w:color="auto"/>
              <w:right w:val="single" w:sz="4" w:space="0" w:color="auto"/>
            </w:tcBorders>
            <w:shd w:val="clear" w:color="auto" w:fill="auto"/>
            <w:noWrap/>
          </w:tcPr>
          <w:p w14:paraId="6AF335D8" w14:textId="38528CA1" w:rsidR="00354C9B" w:rsidRPr="00EF2937" w:rsidRDefault="00354C9B" w:rsidP="00354C9B">
            <w:pPr>
              <w:rPr>
                <w:rFonts w:ascii="Century Gothic" w:hAnsi="Century Gothic" w:cs="Calibri"/>
                <w:sz w:val="22"/>
                <w:szCs w:val="22"/>
              </w:rPr>
            </w:pPr>
            <w:r w:rsidRPr="00EF2937">
              <w:rPr>
                <w:rFonts w:ascii="Century Gothic" w:hAnsi="Century Gothic" w:cs="Calibri"/>
                <w:sz w:val="22"/>
                <w:szCs w:val="22"/>
              </w:rPr>
              <w:t>1323-1326</w:t>
            </w:r>
          </w:p>
        </w:tc>
        <w:tc>
          <w:tcPr>
            <w:tcW w:w="2324" w:type="dxa"/>
            <w:tcBorders>
              <w:top w:val="nil"/>
              <w:left w:val="nil"/>
              <w:bottom w:val="single" w:sz="4" w:space="0" w:color="auto"/>
              <w:right w:val="single" w:sz="4" w:space="0" w:color="auto"/>
            </w:tcBorders>
            <w:shd w:val="clear" w:color="auto" w:fill="auto"/>
          </w:tcPr>
          <w:p w14:paraId="0F658141" w14:textId="3F205849" w:rsidR="00354C9B" w:rsidRPr="00EF2937" w:rsidRDefault="00B24497" w:rsidP="00354C9B">
            <w:pPr>
              <w:pStyle w:val="NormalWeb"/>
              <w:rPr>
                <w:rFonts w:ascii="Century Gothic" w:hAnsi="Century Gothic"/>
                <w:sz w:val="22"/>
                <w:szCs w:val="22"/>
              </w:rPr>
            </w:pPr>
            <w:r>
              <w:rPr>
                <w:rFonts w:ascii="Century Gothic" w:hAnsi="Century Gothic"/>
                <w:sz w:val="22"/>
                <w:szCs w:val="22"/>
              </w:rPr>
              <w:t>“i.e. it should be expected that if 80% of the role pertains to tinnitus then 80% of the CPD activity should reflect this”</w:t>
            </w:r>
          </w:p>
        </w:tc>
        <w:tc>
          <w:tcPr>
            <w:tcW w:w="4622" w:type="dxa"/>
            <w:tcBorders>
              <w:top w:val="nil"/>
              <w:left w:val="nil"/>
              <w:bottom w:val="single" w:sz="4" w:space="0" w:color="auto"/>
              <w:right w:val="single" w:sz="4" w:space="0" w:color="auto"/>
            </w:tcBorders>
            <w:shd w:val="clear" w:color="auto" w:fill="auto"/>
          </w:tcPr>
          <w:p w14:paraId="441C4FBD" w14:textId="1858DD3C" w:rsidR="00354C9B" w:rsidRPr="00EF2937" w:rsidRDefault="00B24497" w:rsidP="00354C9B">
            <w:pPr>
              <w:rPr>
                <w:rFonts w:ascii="Century Gothic" w:hAnsi="Century Gothic" w:cs="Calibri"/>
                <w:sz w:val="22"/>
                <w:szCs w:val="22"/>
              </w:rPr>
            </w:pPr>
            <w:r>
              <w:rPr>
                <w:rFonts w:ascii="Century Gothic" w:hAnsi="Century Gothic" w:cs="Calibri"/>
                <w:sz w:val="22"/>
                <w:szCs w:val="22"/>
              </w:rPr>
              <w:t xml:space="preserve">This is not accurate. If somebody is an expert in the field of </w:t>
            </w:r>
            <w:proofErr w:type="gramStart"/>
            <w:r>
              <w:rPr>
                <w:rFonts w:ascii="Century Gothic" w:hAnsi="Century Gothic" w:cs="Calibri"/>
                <w:sz w:val="22"/>
                <w:szCs w:val="22"/>
              </w:rPr>
              <w:t>tinnitus</w:t>
            </w:r>
            <w:proofErr w:type="gramEnd"/>
            <w:r>
              <w:rPr>
                <w:rFonts w:ascii="Century Gothic" w:hAnsi="Century Gothic" w:cs="Calibri"/>
                <w:sz w:val="22"/>
                <w:szCs w:val="22"/>
              </w:rPr>
              <w:t xml:space="preserve"> they might spend more of their “continued professional development” on developing other areas of expertise where they are not as strong, and spend more time on “continued education and training” to maintain their tinnitus </w:t>
            </w:r>
            <w:r>
              <w:rPr>
                <w:rFonts w:ascii="Century Gothic" w:hAnsi="Century Gothic" w:cs="Calibri"/>
                <w:sz w:val="22"/>
                <w:szCs w:val="22"/>
              </w:rPr>
              <w:lastRenderedPageBreak/>
              <w:t xml:space="preserve">expertise. We would recommend this is </w:t>
            </w:r>
            <w:bookmarkStart w:id="0" w:name="_GoBack"/>
            <w:bookmarkEnd w:id="0"/>
            <w:r>
              <w:rPr>
                <w:rFonts w:ascii="Century Gothic" w:hAnsi="Century Gothic" w:cs="Calibri"/>
                <w:sz w:val="22"/>
                <w:szCs w:val="22"/>
              </w:rPr>
              <w:t xml:space="preserve">updated. </w:t>
            </w:r>
          </w:p>
        </w:tc>
        <w:tc>
          <w:tcPr>
            <w:tcW w:w="4252" w:type="dxa"/>
            <w:tcBorders>
              <w:top w:val="nil"/>
              <w:left w:val="nil"/>
              <w:bottom w:val="single" w:sz="4" w:space="0" w:color="auto"/>
              <w:right w:val="single" w:sz="4" w:space="0" w:color="auto"/>
            </w:tcBorders>
            <w:shd w:val="clear" w:color="auto" w:fill="auto"/>
            <w:noWrap/>
          </w:tcPr>
          <w:p w14:paraId="0D2BD730" w14:textId="77777777" w:rsidR="00354C9B" w:rsidRPr="00EF2937" w:rsidRDefault="00354C9B" w:rsidP="00354C9B">
            <w:pPr>
              <w:rPr>
                <w:rFonts w:ascii="Century Gothic" w:hAnsi="Century Gothic" w:cs="Calibri"/>
                <w:color w:val="000000"/>
                <w:sz w:val="22"/>
                <w:szCs w:val="22"/>
              </w:rPr>
            </w:pPr>
          </w:p>
        </w:tc>
      </w:tr>
    </w:tbl>
    <w:p w14:paraId="55C13E54" w14:textId="77777777" w:rsidR="003B0087" w:rsidRPr="00EF2937" w:rsidRDefault="003B0087" w:rsidP="00134D0C">
      <w:pPr>
        <w:rPr>
          <w:rFonts w:ascii="Century Gothic" w:hAnsi="Century Gothic"/>
          <w:sz w:val="22"/>
          <w:szCs w:val="22"/>
        </w:rPr>
      </w:pPr>
    </w:p>
    <w:sectPr w:rsidR="003B0087" w:rsidRPr="00EF2937" w:rsidSect="00134D0C">
      <w:headerReference w:type="defaul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8D04B" w14:textId="77777777" w:rsidR="009A2853" w:rsidRDefault="009A2853" w:rsidP="004426BB">
      <w:r>
        <w:separator/>
      </w:r>
    </w:p>
  </w:endnote>
  <w:endnote w:type="continuationSeparator" w:id="0">
    <w:p w14:paraId="55E36B53" w14:textId="77777777" w:rsidR="009A2853" w:rsidRDefault="009A2853" w:rsidP="00442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84EF8" w14:textId="77777777" w:rsidR="009A2853" w:rsidRDefault="009A2853" w:rsidP="004426BB">
      <w:r>
        <w:separator/>
      </w:r>
    </w:p>
  </w:footnote>
  <w:footnote w:type="continuationSeparator" w:id="0">
    <w:p w14:paraId="15F71063" w14:textId="77777777" w:rsidR="009A2853" w:rsidRDefault="009A2853" w:rsidP="00442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1DC84" w14:textId="11A7FC09" w:rsidR="002E3AAE" w:rsidRPr="002E3AAE" w:rsidRDefault="002E3AAE">
    <w:pPr>
      <w:pStyle w:val="Header"/>
      <w:rPr>
        <w:rFonts w:ascii="Century Gothic" w:hAnsi="Century Gothic"/>
      </w:rPr>
    </w:pPr>
    <w:r w:rsidRPr="002E3AAE">
      <w:rPr>
        <w:rFonts w:ascii="Century Gothic" w:hAnsi="Century Gothic"/>
      </w:rPr>
      <w:t xml:space="preserve">NCHA response submitted 24 Oct with agreement </w:t>
    </w:r>
    <w:r>
      <w:rPr>
        <w:rFonts w:ascii="Century Gothic" w:hAnsi="Century Gothic"/>
      </w:rPr>
      <w:t>(extension)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481F18"/>
    <w:multiLevelType w:val="hybridMultilevel"/>
    <w:tmpl w:val="2EC47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9C664A"/>
    <w:multiLevelType w:val="multilevel"/>
    <w:tmpl w:val="DAF689F2"/>
    <w:lvl w:ilvl="0">
      <w:start w:val="11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D0C"/>
    <w:rsid w:val="000349A4"/>
    <w:rsid w:val="000466B9"/>
    <w:rsid w:val="00047D2A"/>
    <w:rsid w:val="00071A3C"/>
    <w:rsid w:val="000C155F"/>
    <w:rsid w:val="000E2672"/>
    <w:rsid w:val="000E32C6"/>
    <w:rsid w:val="000E6B43"/>
    <w:rsid w:val="000E7660"/>
    <w:rsid w:val="000F059A"/>
    <w:rsid w:val="00122FD3"/>
    <w:rsid w:val="00134D0C"/>
    <w:rsid w:val="001809EB"/>
    <w:rsid w:val="001A3711"/>
    <w:rsid w:val="001A51C0"/>
    <w:rsid w:val="001A68F3"/>
    <w:rsid w:val="001D3B07"/>
    <w:rsid w:val="00210BB9"/>
    <w:rsid w:val="0022117E"/>
    <w:rsid w:val="002527FB"/>
    <w:rsid w:val="00266F47"/>
    <w:rsid w:val="0027579D"/>
    <w:rsid w:val="00291B8F"/>
    <w:rsid w:val="002E3AAE"/>
    <w:rsid w:val="002E5C90"/>
    <w:rsid w:val="003161DC"/>
    <w:rsid w:val="00316871"/>
    <w:rsid w:val="00350B8B"/>
    <w:rsid w:val="00352598"/>
    <w:rsid w:val="00354C9B"/>
    <w:rsid w:val="0036535A"/>
    <w:rsid w:val="00383EEF"/>
    <w:rsid w:val="003904A2"/>
    <w:rsid w:val="003B0087"/>
    <w:rsid w:val="003B3E88"/>
    <w:rsid w:val="003D2A7D"/>
    <w:rsid w:val="00416346"/>
    <w:rsid w:val="00421BF4"/>
    <w:rsid w:val="004426BB"/>
    <w:rsid w:val="00492FDB"/>
    <w:rsid w:val="004A618A"/>
    <w:rsid w:val="005027D7"/>
    <w:rsid w:val="00546546"/>
    <w:rsid w:val="00565811"/>
    <w:rsid w:val="005D08F5"/>
    <w:rsid w:val="005E3B7A"/>
    <w:rsid w:val="006307CB"/>
    <w:rsid w:val="006B415F"/>
    <w:rsid w:val="006D5735"/>
    <w:rsid w:val="007128CA"/>
    <w:rsid w:val="00736039"/>
    <w:rsid w:val="007968BF"/>
    <w:rsid w:val="007A39E6"/>
    <w:rsid w:val="007D4025"/>
    <w:rsid w:val="007E3572"/>
    <w:rsid w:val="00803E94"/>
    <w:rsid w:val="00844DC4"/>
    <w:rsid w:val="0085699E"/>
    <w:rsid w:val="00861676"/>
    <w:rsid w:val="0086427F"/>
    <w:rsid w:val="008F2468"/>
    <w:rsid w:val="009004C4"/>
    <w:rsid w:val="00905081"/>
    <w:rsid w:val="0093505F"/>
    <w:rsid w:val="0095115D"/>
    <w:rsid w:val="00954D4B"/>
    <w:rsid w:val="00982389"/>
    <w:rsid w:val="00982964"/>
    <w:rsid w:val="009A2853"/>
    <w:rsid w:val="009F5D4B"/>
    <w:rsid w:val="00A0004D"/>
    <w:rsid w:val="00A13028"/>
    <w:rsid w:val="00A21AA7"/>
    <w:rsid w:val="00A445A9"/>
    <w:rsid w:val="00A4507E"/>
    <w:rsid w:val="00A472D5"/>
    <w:rsid w:val="00A70BC8"/>
    <w:rsid w:val="00A779F8"/>
    <w:rsid w:val="00AC1828"/>
    <w:rsid w:val="00AC75F5"/>
    <w:rsid w:val="00AD49F7"/>
    <w:rsid w:val="00AD5420"/>
    <w:rsid w:val="00AD5BDA"/>
    <w:rsid w:val="00B0551F"/>
    <w:rsid w:val="00B24497"/>
    <w:rsid w:val="00B531C7"/>
    <w:rsid w:val="00B962D4"/>
    <w:rsid w:val="00BA4E16"/>
    <w:rsid w:val="00BB46CE"/>
    <w:rsid w:val="00BC43F6"/>
    <w:rsid w:val="00BC4FFC"/>
    <w:rsid w:val="00C30A15"/>
    <w:rsid w:val="00C5640F"/>
    <w:rsid w:val="00CD4185"/>
    <w:rsid w:val="00D0143C"/>
    <w:rsid w:val="00D05AFA"/>
    <w:rsid w:val="00D21F1F"/>
    <w:rsid w:val="00D30BCF"/>
    <w:rsid w:val="00D73CF5"/>
    <w:rsid w:val="00DA3BEF"/>
    <w:rsid w:val="00DB4D31"/>
    <w:rsid w:val="00DC0016"/>
    <w:rsid w:val="00DD6414"/>
    <w:rsid w:val="00DD738D"/>
    <w:rsid w:val="00DF058C"/>
    <w:rsid w:val="00DF1B62"/>
    <w:rsid w:val="00E00DF9"/>
    <w:rsid w:val="00E25642"/>
    <w:rsid w:val="00E37BD8"/>
    <w:rsid w:val="00EC1EC9"/>
    <w:rsid w:val="00EE68A5"/>
    <w:rsid w:val="00EF2937"/>
    <w:rsid w:val="00F12E1C"/>
    <w:rsid w:val="00F1747C"/>
    <w:rsid w:val="00F302A8"/>
    <w:rsid w:val="00F30B29"/>
    <w:rsid w:val="00F45E00"/>
    <w:rsid w:val="00FA363B"/>
    <w:rsid w:val="00FA74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E8FF9"/>
  <w15:chartTrackingRefBased/>
  <w15:docId w15:val="{B426DD4F-DB10-4FAD-9420-B2426C93B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C155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6BB"/>
    <w:pPr>
      <w:tabs>
        <w:tab w:val="center" w:pos="4513"/>
        <w:tab w:val="right" w:pos="9026"/>
      </w:tabs>
    </w:pPr>
  </w:style>
  <w:style w:type="character" w:customStyle="1" w:styleId="HeaderChar">
    <w:name w:val="Header Char"/>
    <w:basedOn w:val="DefaultParagraphFont"/>
    <w:link w:val="Header"/>
    <w:uiPriority w:val="99"/>
    <w:rsid w:val="004426BB"/>
  </w:style>
  <w:style w:type="paragraph" w:styleId="Footer">
    <w:name w:val="footer"/>
    <w:basedOn w:val="Normal"/>
    <w:link w:val="FooterChar"/>
    <w:uiPriority w:val="99"/>
    <w:unhideWhenUsed/>
    <w:rsid w:val="004426BB"/>
    <w:pPr>
      <w:tabs>
        <w:tab w:val="center" w:pos="4513"/>
        <w:tab w:val="right" w:pos="9026"/>
      </w:tabs>
    </w:pPr>
  </w:style>
  <w:style w:type="character" w:customStyle="1" w:styleId="FooterChar">
    <w:name w:val="Footer Char"/>
    <w:basedOn w:val="DefaultParagraphFont"/>
    <w:link w:val="Footer"/>
    <w:uiPriority w:val="99"/>
    <w:rsid w:val="004426BB"/>
  </w:style>
  <w:style w:type="paragraph" w:styleId="BalloonText">
    <w:name w:val="Balloon Text"/>
    <w:basedOn w:val="Normal"/>
    <w:link w:val="BalloonTextChar"/>
    <w:uiPriority w:val="99"/>
    <w:semiHidden/>
    <w:unhideWhenUsed/>
    <w:rsid w:val="00DD73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38D"/>
    <w:rPr>
      <w:rFonts w:ascii="Segoe UI" w:hAnsi="Segoe UI" w:cs="Segoe UI"/>
      <w:sz w:val="18"/>
      <w:szCs w:val="18"/>
    </w:rPr>
  </w:style>
  <w:style w:type="character" w:customStyle="1" w:styleId="fontstyle01">
    <w:name w:val="fontstyle01"/>
    <w:basedOn w:val="DefaultParagraphFont"/>
    <w:rsid w:val="00E25642"/>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E25642"/>
    <w:rPr>
      <w:rFonts w:ascii="TimesNewRomanPSMT" w:hAnsi="TimesNewRomanPSMT" w:hint="default"/>
      <w:b w:val="0"/>
      <w:bCs w:val="0"/>
      <w:i w:val="0"/>
      <w:iCs w:val="0"/>
      <w:color w:val="000000"/>
      <w:sz w:val="24"/>
      <w:szCs w:val="24"/>
    </w:rPr>
  </w:style>
  <w:style w:type="paragraph" w:styleId="ListParagraph">
    <w:name w:val="List Paragraph"/>
    <w:basedOn w:val="Normal"/>
    <w:uiPriority w:val="34"/>
    <w:qFormat/>
    <w:rsid w:val="00A13028"/>
    <w:pPr>
      <w:ind w:left="720"/>
      <w:contextualSpacing/>
    </w:pPr>
  </w:style>
  <w:style w:type="character" w:styleId="Hyperlink">
    <w:name w:val="Hyperlink"/>
    <w:basedOn w:val="DefaultParagraphFont"/>
    <w:uiPriority w:val="99"/>
    <w:unhideWhenUsed/>
    <w:rsid w:val="001A3711"/>
    <w:rPr>
      <w:color w:val="0000FF"/>
      <w:u w:val="single"/>
    </w:rPr>
  </w:style>
  <w:style w:type="character" w:styleId="UnresolvedMention">
    <w:name w:val="Unresolved Mention"/>
    <w:basedOn w:val="DefaultParagraphFont"/>
    <w:uiPriority w:val="99"/>
    <w:semiHidden/>
    <w:unhideWhenUsed/>
    <w:rsid w:val="001A3711"/>
    <w:rPr>
      <w:color w:val="605E5C"/>
      <w:shd w:val="clear" w:color="auto" w:fill="E1DFDD"/>
    </w:rPr>
  </w:style>
  <w:style w:type="paragraph" w:styleId="NormalWeb">
    <w:name w:val="Normal (Web)"/>
    <w:basedOn w:val="Normal"/>
    <w:uiPriority w:val="99"/>
    <w:semiHidden/>
    <w:unhideWhenUsed/>
    <w:rsid w:val="0022117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79055">
      <w:bodyDiv w:val="1"/>
      <w:marLeft w:val="0"/>
      <w:marRight w:val="0"/>
      <w:marTop w:val="0"/>
      <w:marBottom w:val="0"/>
      <w:divBdr>
        <w:top w:val="none" w:sz="0" w:space="0" w:color="auto"/>
        <w:left w:val="none" w:sz="0" w:space="0" w:color="auto"/>
        <w:bottom w:val="none" w:sz="0" w:space="0" w:color="auto"/>
        <w:right w:val="none" w:sz="0" w:space="0" w:color="auto"/>
      </w:divBdr>
    </w:div>
    <w:div w:id="319238831">
      <w:bodyDiv w:val="1"/>
      <w:marLeft w:val="0"/>
      <w:marRight w:val="0"/>
      <w:marTop w:val="0"/>
      <w:marBottom w:val="0"/>
      <w:divBdr>
        <w:top w:val="none" w:sz="0" w:space="0" w:color="auto"/>
        <w:left w:val="none" w:sz="0" w:space="0" w:color="auto"/>
        <w:bottom w:val="none" w:sz="0" w:space="0" w:color="auto"/>
        <w:right w:val="none" w:sz="0" w:space="0" w:color="auto"/>
      </w:divBdr>
      <w:divsChild>
        <w:div w:id="1432436244">
          <w:marLeft w:val="0"/>
          <w:marRight w:val="0"/>
          <w:marTop w:val="0"/>
          <w:marBottom w:val="0"/>
          <w:divBdr>
            <w:top w:val="none" w:sz="0" w:space="0" w:color="auto"/>
            <w:left w:val="none" w:sz="0" w:space="0" w:color="auto"/>
            <w:bottom w:val="none" w:sz="0" w:space="0" w:color="auto"/>
            <w:right w:val="none" w:sz="0" w:space="0" w:color="auto"/>
          </w:divBdr>
          <w:divsChild>
            <w:div w:id="47338210">
              <w:marLeft w:val="0"/>
              <w:marRight w:val="0"/>
              <w:marTop w:val="0"/>
              <w:marBottom w:val="0"/>
              <w:divBdr>
                <w:top w:val="none" w:sz="0" w:space="0" w:color="auto"/>
                <w:left w:val="none" w:sz="0" w:space="0" w:color="auto"/>
                <w:bottom w:val="none" w:sz="0" w:space="0" w:color="auto"/>
                <w:right w:val="none" w:sz="0" w:space="0" w:color="auto"/>
              </w:divBdr>
              <w:divsChild>
                <w:div w:id="783109629">
                  <w:marLeft w:val="0"/>
                  <w:marRight w:val="0"/>
                  <w:marTop w:val="0"/>
                  <w:marBottom w:val="0"/>
                  <w:divBdr>
                    <w:top w:val="none" w:sz="0" w:space="0" w:color="auto"/>
                    <w:left w:val="none" w:sz="0" w:space="0" w:color="auto"/>
                    <w:bottom w:val="none" w:sz="0" w:space="0" w:color="auto"/>
                    <w:right w:val="none" w:sz="0" w:space="0" w:color="auto"/>
                  </w:divBdr>
                  <w:divsChild>
                    <w:div w:id="123137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831777">
      <w:bodyDiv w:val="1"/>
      <w:marLeft w:val="0"/>
      <w:marRight w:val="0"/>
      <w:marTop w:val="0"/>
      <w:marBottom w:val="0"/>
      <w:divBdr>
        <w:top w:val="none" w:sz="0" w:space="0" w:color="auto"/>
        <w:left w:val="none" w:sz="0" w:space="0" w:color="auto"/>
        <w:bottom w:val="none" w:sz="0" w:space="0" w:color="auto"/>
        <w:right w:val="none" w:sz="0" w:space="0" w:color="auto"/>
      </w:divBdr>
    </w:div>
    <w:div w:id="1145466707">
      <w:bodyDiv w:val="1"/>
      <w:marLeft w:val="0"/>
      <w:marRight w:val="0"/>
      <w:marTop w:val="0"/>
      <w:marBottom w:val="0"/>
      <w:divBdr>
        <w:top w:val="none" w:sz="0" w:space="0" w:color="auto"/>
        <w:left w:val="none" w:sz="0" w:space="0" w:color="auto"/>
        <w:bottom w:val="none" w:sz="0" w:space="0" w:color="auto"/>
        <w:right w:val="none" w:sz="0" w:space="0" w:color="auto"/>
      </w:divBdr>
    </w:div>
    <w:div w:id="1179196610">
      <w:bodyDiv w:val="1"/>
      <w:marLeft w:val="0"/>
      <w:marRight w:val="0"/>
      <w:marTop w:val="0"/>
      <w:marBottom w:val="0"/>
      <w:divBdr>
        <w:top w:val="none" w:sz="0" w:space="0" w:color="auto"/>
        <w:left w:val="none" w:sz="0" w:space="0" w:color="auto"/>
        <w:bottom w:val="none" w:sz="0" w:space="0" w:color="auto"/>
        <w:right w:val="none" w:sz="0" w:space="0" w:color="auto"/>
      </w:divBdr>
    </w:div>
    <w:div w:id="1182743439">
      <w:bodyDiv w:val="1"/>
      <w:marLeft w:val="0"/>
      <w:marRight w:val="0"/>
      <w:marTop w:val="0"/>
      <w:marBottom w:val="0"/>
      <w:divBdr>
        <w:top w:val="none" w:sz="0" w:space="0" w:color="auto"/>
        <w:left w:val="none" w:sz="0" w:space="0" w:color="auto"/>
        <w:bottom w:val="none" w:sz="0" w:space="0" w:color="auto"/>
        <w:right w:val="none" w:sz="0" w:space="0" w:color="auto"/>
      </w:divBdr>
    </w:div>
    <w:div w:id="1306395529">
      <w:bodyDiv w:val="1"/>
      <w:marLeft w:val="0"/>
      <w:marRight w:val="0"/>
      <w:marTop w:val="0"/>
      <w:marBottom w:val="0"/>
      <w:divBdr>
        <w:top w:val="none" w:sz="0" w:space="0" w:color="auto"/>
        <w:left w:val="none" w:sz="0" w:space="0" w:color="auto"/>
        <w:bottom w:val="none" w:sz="0" w:space="0" w:color="auto"/>
        <w:right w:val="none" w:sz="0" w:space="0" w:color="auto"/>
      </w:divBdr>
    </w:div>
    <w:div w:id="1353992836">
      <w:bodyDiv w:val="1"/>
      <w:marLeft w:val="0"/>
      <w:marRight w:val="0"/>
      <w:marTop w:val="0"/>
      <w:marBottom w:val="0"/>
      <w:divBdr>
        <w:top w:val="none" w:sz="0" w:space="0" w:color="auto"/>
        <w:left w:val="none" w:sz="0" w:space="0" w:color="auto"/>
        <w:bottom w:val="none" w:sz="0" w:space="0" w:color="auto"/>
        <w:right w:val="none" w:sz="0" w:space="0" w:color="auto"/>
      </w:divBdr>
    </w:div>
    <w:div w:id="1520778439">
      <w:bodyDiv w:val="1"/>
      <w:marLeft w:val="0"/>
      <w:marRight w:val="0"/>
      <w:marTop w:val="0"/>
      <w:marBottom w:val="0"/>
      <w:divBdr>
        <w:top w:val="none" w:sz="0" w:space="0" w:color="auto"/>
        <w:left w:val="none" w:sz="0" w:space="0" w:color="auto"/>
        <w:bottom w:val="none" w:sz="0" w:space="0" w:color="auto"/>
        <w:right w:val="none" w:sz="0" w:space="0" w:color="auto"/>
      </w:divBdr>
    </w:div>
    <w:div w:id="1614627926">
      <w:bodyDiv w:val="1"/>
      <w:marLeft w:val="0"/>
      <w:marRight w:val="0"/>
      <w:marTop w:val="0"/>
      <w:marBottom w:val="0"/>
      <w:divBdr>
        <w:top w:val="none" w:sz="0" w:space="0" w:color="auto"/>
        <w:left w:val="none" w:sz="0" w:space="0" w:color="auto"/>
        <w:bottom w:val="none" w:sz="0" w:space="0" w:color="auto"/>
        <w:right w:val="none" w:sz="0" w:space="0" w:color="auto"/>
      </w:divBdr>
      <w:divsChild>
        <w:div w:id="196550934">
          <w:marLeft w:val="0"/>
          <w:marRight w:val="0"/>
          <w:marTop w:val="0"/>
          <w:marBottom w:val="0"/>
          <w:divBdr>
            <w:top w:val="none" w:sz="0" w:space="0" w:color="auto"/>
            <w:left w:val="none" w:sz="0" w:space="0" w:color="auto"/>
            <w:bottom w:val="none" w:sz="0" w:space="0" w:color="auto"/>
            <w:right w:val="none" w:sz="0" w:space="0" w:color="auto"/>
          </w:divBdr>
          <w:divsChild>
            <w:div w:id="85615556">
              <w:marLeft w:val="0"/>
              <w:marRight w:val="0"/>
              <w:marTop w:val="0"/>
              <w:marBottom w:val="0"/>
              <w:divBdr>
                <w:top w:val="none" w:sz="0" w:space="0" w:color="auto"/>
                <w:left w:val="none" w:sz="0" w:space="0" w:color="auto"/>
                <w:bottom w:val="none" w:sz="0" w:space="0" w:color="auto"/>
                <w:right w:val="none" w:sz="0" w:space="0" w:color="auto"/>
              </w:divBdr>
              <w:divsChild>
                <w:div w:id="1464156985">
                  <w:marLeft w:val="0"/>
                  <w:marRight w:val="0"/>
                  <w:marTop w:val="0"/>
                  <w:marBottom w:val="0"/>
                  <w:divBdr>
                    <w:top w:val="none" w:sz="0" w:space="0" w:color="auto"/>
                    <w:left w:val="none" w:sz="0" w:space="0" w:color="auto"/>
                    <w:bottom w:val="none" w:sz="0" w:space="0" w:color="auto"/>
                    <w:right w:val="none" w:sz="0" w:space="0" w:color="auto"/>
                  </w:divBdr>
                  <w:divsChild>
                    <w:div w:id="102081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544005">
      <w:bodyDiv w:val="1"/>
      <w:marLeft w:val="0"/>
      <w:marRight w:val="0"/>
      <w:marTop w:val="0"/>
      <w:marBottom w:val="0"/>
      <w:divBdr>
        <w:top w:val="none" w:sz="0" w:space="0" w:color="auto"/>
        <w:left w:val="none" w:sz="0" w:space="0" w:color="auto"/>
        <w:bottom w:val="none" w:sz="0" w:space="0" w:color="auto"/>
        <w:right w:val="none" w:sz="0" w:space="0" w:color="auto"/>
      </w:divBdr>
    </w:div>
    <w:div w:id="2021810568">
      <w:bodyDiv w:val="1"/>
      <w:marLeft w:val="0"/>
      <w:marRight w:val="0"/>
      <w:marTop w:val="0"/>
      <w:marBottom w:val="0"/>
      <w:divBdr>
        <w:top w:val="none" w:sz="0" w:space="0" w:color="auto"/>
        <w:left w:val="none" w:sz="0" w:space="0" w:color="auto"/>
        <w:bottom w:val="none" w:sz="0" w:space="0" w:color="auto"/>
        <w:right w:val="none" w:sz="0" w:space="0" w:color="auto"/>
      </w:divBdr>
      <w:divsChild>
        <w:div w:id="256137292">
          <w:marLeft w:val="0"/>
          <w:marRight w:val="0"/>
          <w:marTop w:val="0"/>
          <w:marBottom w:val="0"/>
          <w:divBdr>
            <w:top w:val="none" w:sz="0" w:space="0" w:color="auto"/>
            <w:left w:val="none" w:sz="0" w:space="0" w:color="auto"/>
            <w:bottom w:val="none" w:sz="0" w:space="0" w:color="auto"/>
            <w:right w:val="none" w:sz="0" w:space="0" w:color="auto"/>
          </w:divBdr>
          <w:divsChild>
            <w:div w:id="490340816">
              <w:marLeft w:val="0"/>
              <w:marRight w:val="0"/>
              <w:marTop w:val="0"/>
              <w:marBottom w:val="0"/>
              <w:divBdr>
                <w:top w:val="none" w:sz="0" w:space="0" w:color="auto"/>
                <w:left w:val="none" w:sz="0" w:space="0" w:color="auto"/>
                <w:bottom w:val="none" w:sz="0" w:space="0" w:color="auto"/>
                <w:right w:val="none" w:sz="0" w:space="0" w:color="auto"/>
              </w:divBdr>
              <w:divsChild>
                <w:div w:id="1311207499">
                  <w:marLeft w:val="0"/>
                  <w:marRight w:val="0"/>
                  <w:marTop w:val="0"/>
                  <w:marBottom w:val="0"/>
                  <w:divBdr>
                    <w:top w:val="none" w:sz="0" w:space="0" w:color="auto"/>
                    <w:left w:val="none" w:sz="0" w:space="0" w:color="auto"/>
                    <w:bottom w:val="none" w:sz="0" w:space="0" w:color="auto"/>
                    <w:right w:val="none" w:sz="0" w:space="0" w:color="auto"/>
                  </w:divBdr>
                  <w:divsChild>
                    <w:div w:id="199965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1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wp-content/uploads/2017/09/joint-strategic-needs-assessment-guidance-jul19.pdf" TargetMode="External"/><Relationship Id="rId13" Type="http://schemas.openxmlformats.org/officeDocument/2006/relationships/hyperlink" Target="https://www.nice.org.uk/guidance/indevelopment/gid-ng10077/consultation/html-content-2" TargetMode="External"/><Relationship Id="rId18" Type="http://schemas.openxmlformats.org/officeDocument/2006/relationships/hyperlink" Target="https://www.england.nhs.uk/tis/abou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ice.org.uk/guidance/indevelopment/gid-ng10077/consultation/html-content-2" TargetMode="External"/><Relationship Id="rId12" Type="http://schemas.openxmlformats.org/officeDocument/2006/relationships/hyperlink" Target="https://www.nice.org.uk/guidance/indevelopment/gid-ng10077/consultation/html-content-2" TargetMode="External"/><Relationship Id="rId17" Type="http://schemas.openxmlformats.org/officeDocument/2006/relationships/hyperlink" Target="https://www.nice.org.uk/guidance/indevelopment/gid-ng10077/consultation/html-content-2" TargetMode="External"/><Relationship Id="rId2" Type="http://schemas.openxmlformats.org/officeDocument/2006/relationships/styles" Target="styles.xml"/><Relationship Id="rId16" Type="http://schemas.openxmlformats.org/officeDocument/2006/relationships/hyperlink" Target="https://www.nice.org.uk/guidance/indevelopment/gid-ng10077/consultation/html-content-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estpractice.bmj.com/topics/en-gb/364" TargetMode="External"/><Relationship Id="rId5" Type="http://schemas.openxmlformats.org/officeDocument/2006/relationships/footnotes" Target="footnotes.xml"/><Relationship Id="rId15" Type="http://schemas.openxmlformats.org/officeDocument/2006/relationships/hyperlink" Target="https://www.nice.org.uk/guidance/indevelopment/gid-ng10077/consultation/html-content-2" TargetMode="External"/><Relationship Id="rId10" Type="http://schemas.openxmlformats.org/officeDocument/2006/relationships/hyperlink" Target="https://www.bshaa.com/News/updated-guidance-on-onward-referra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ice.org.uk/guidance/indevelopment/gid-ng10077/consultation/html-content-2" TargetMode="External"/><Relationship Id="rId14" Type="http://schemas.openxmlformats.org/officeDocument/2006/relationships/hyperlink" Target="https://www.nice.org.uk/guidance/indevelopment/gid-ng10077/consultation/html-conten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Company/>
  <Lines>91</Lines>
  <LinksUpToDate>false</LinksUpToDate>
  <Paragraphs>25</Paragraphs>
  <ScaleCrop>false</ScaleCrop>
  <CharactersWithSpaces>12929</CharactersWithSpaces>
  <SharedDoc>false</SharedDoc>
  <HyperlinksChanged>false</HyperlinksChanged>
  <AppVersion>16.0000</AppVersion>
  <Characters>11021</Characters>
  <Pages>10</Pages>
  <DocSecurity>0</DocSecurity>
  <Words>1933</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Harjit Sandhu</dc:creator>
  <dcterms:modified xsi:type="dcterms:W3CDTF">2019-10-24T18:26:00Z</dcterms:modified>
  <dc:description/>
  <cp:keywords/>
  <dc:subject/>
  <dc:title/>
  <cp:lastModifiedBy>Harjit Sandhu</cp:lastModifiedBy>
  <dcterms:created xsi:type="dcterms:W3CDTF">2019-10-24T16:15:00Z</dcterms:created>
  <cp:revision>60</cp:revision>
</cp:coreProperties>
</file>