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3892" w:type="dxa"/>
        <w:tblLayout w:type="fixed"/>
        <w:tblLook w:val="04A0" w:firstRow="1" w:lastRow="0" w:firstColumn="1" w:lastColumn="0" w:noHBand="0" w:noVBand="1"/>
      </w:tblPr>
      <w:tblGrid>
        <w:gridCol w:w="1134"/>
        <w:gridCol w:w="856"/>
        <w:gridCol w:w="1419"/>
        <w:gridCol w:w="5805"/>
        <w:gridCol w:w="4678"/>
      </w:tblGrid>
      <w:tr w:rsidR="00793648" w:rsidRPr="00A76C93" w14:paraId="09ACAE87" w14:textId="77777777" w:rsidTr="007A3862">
        <w:trPr>
          <w:trHeight w:val="360"/>
        </w:trPr>
        <w:tc>
          <w:tcPr>
            <w:tcW w:w="13892" w:type="dxa"/>
            <w:gridSpan w:val="5"/>
            <w:tcBorders>
              <w:top w:val="nil"/>
              <w:left w:val="nil"/>
              <w:bottom w:val="single" w:sz="4" w:space="0" w:color="auto"/>
              <w:right w:val="nil"/>
            </w:tcBorders>
            <w:shd w:val="clear" w:color="auto" w:fill="auto"/>
            <w:noWrap/>
            <w:vAlign w:val="bottom"/>
            <w:hideMark/>
          </w:tcPr>
          <w:p w14:paraId="41316CA8" w14:textId="4C1F1764" w:rsidR="00134D0C" w:rsidRPr="00A76C93" w:rsidRDefault="004426BB" w:rsidP="00134D0C">
            <w:pPr>
              <w:jc w:val="center"/>
              <w:rPr>
                <w:rFonts w:ascii="Century Gothic" w:hAnsi="Century Gothic" w:cs="Arial"/>
                <w:b/>
                <w:bCs/>
              </w:rPr>
            </w:pPr>
            <w:r w:rsidRPr="00A76C93">
              <w:rPr>
                <w:rFonts w:ascii="Century Gothic" w:hAnsi="Century Gothic" w:cs="Arial"/>
                <w:b/>
                <w:bCs/>
              </w:rPr>
              <w:t xml:space="preserve">BSA </w:t>
            </w:r>
            <w:r w:rsidR="00D94427" w:rsidRPr="00A76C93">
              <w:rPr>
                <w:rFonts w:ascii="Century Gothic" w:hAnsi="Century Gothic" w:cs="Arial"/>
                <w:b/>
                <w:bCs/>
              </w:rPr>
              <w:t>p</w:t>
            </w:r>
            <w:r w:rsidR="00134D0C" w:rsidRPr="00A76C93">
              <w:rPr>
                <w:rFonts w:ascii="Century Gothic" w:hAnsi="Century Gothic" w:cs="Arial"/>
                <w:b/>
                <w:bCs/>
              </w:rPr>
              <w:t xml:space="preserve">ractice </w:t>
            </w:r>
            <w:r w:rsidR="00D94427" w:rsidRPr="00A76C93">
              <w:rPr>
                <w:rFonts w:ascii="Century Gothic" w:hAnsi="Century Gothic" w:cs="Arial"/>
                <w:b/>
                <w:bCs/>
              </w:rPr>
              <w:t>g</w:t>
            </w:r>
            <w:r w:rsidR="00134D0C" w:rsidRPr="00A76C93">
              <w:rPr>
                <w:rFonts w:ascii="Century Gothic" w:hAnsi="Century Gothic" w:cs="Arial"/>
                <w:b/>
                <w:bCs/>
              </w:rPr>
              <w:t xml:space="preserve">uidance </w:t>
            </w:r>
            <w:r w:rsidR="00D94427" w:rsidRPr="00A76C93">
              <w:rPr>
                <w:rFonts w:ascii="Century Gothic" w:hAnsi="Century Gothic" w:cs="Arial"/>
                <w:b/>
                <w:bCs/>
              </w:rPr>
              <w:t>aural care (wax removal)</w:t>
            </w:r>
          </w:p>
          <w:p w14:paraId="4981D502" w14:textId="77777777" w:rsidR="00416346" w:rsidRPr="00A76C93" w:rsidRDefault="00416346" w:rsidP="00134D0C">
            <w:pPr>
              <w:jc w:val="center"/>
              <w:rPr>
                <w:rFonts w:ascii="Century Gothic" w:hAnsi="Century Gothic" w:cs="Arial"/>
                <w:b/>
                <w:bCs/>
              </w:rPr>
            </w:pPr>
          </w:p>
          <w:p w14:paraId="0F675175" w14:textId="44530D48" w:rsidR="00134D0C" w:rsidRPr="00A76C93" w:rsidRDefault="00134D0C" w:rsidP="00134D0C">
            <w:pPr>
              <w:jc w:val="center"/>
              <w:rPr>
                <w:rFonts w:ascii="Century Gothic" w:hAnsi="Century Gothic" w:cs="Arial"/>
                <w:b/>
                <w:bCs/>
                <w:color w:val="FF0000"/>
              </w:rPr>
            </w:pPr>
          </w:p>
        </w:tc>
      </w:tr>
      <w:tr w:rsidR="007A3862" w:rsidRPr="00A76C93" w14:paraId="49620430" w14:textId="77777777" w:rsidTr="009D4452">
        <w:trPr>
          <w:trHeight w:val="795"/>
        </w:trPr>
        <w:tc>
          <w:tcPr>
            <w:tcW w:w="1134" w:type="dxa"/>
            <w:tcBorders>
              <w:top w:val="nil"/>
              <w:left w:val="single" w:sz="4" w:space="0" w:color="auto"/>
              <w:bottom w:val="single" w:sz="4" w:space="0" w:color="auto"/>
              <w:right w:val="single" w:sz="4" w:space="0" w:color="auto"/>
            </w:tcBorders>
            <w:shd w:val="clear" w:color="000000" w:fill="BDD7EE"/>
            <w:hideMark/>
          </w:tcPr>
          <w:p w14:paraId="5E50C92E" w14:textId="427D2C6A" w:rsidR="00C30A15" w:rsidRPr="00A76C93" w:rsidRDefault="00134D0C" w:rsidP="00C30A15">
            <w:pPr>
              <w:jc w:val="center"/>
              <w:rPr>
                <w:rFonts w:ascii="Century Gothic" w:hAnsi="Century Gothic" w:cs="Calibri"/>
                <w:b/>
                <w:bCs/>
              </w:rPr>
            </w:pPr>
            <w:r w:rsidRPr="00A76C93">
              <w:rPr>
                <w:rFonts w:ascii="Century Gothic" w:hAnsi="Century Gothic" w:cs="Calibri"/>
                <w:b/>
                <w:bCs/>
              </w:rPr>
              <w:t>BSA</w:t>
            </w:r>
          </w:p>
          <w:p w14:paraId="4F9115DA" w14:textId="7D2A5427" w:rsidR="00C30A15" w:rsidRPr="00A76C93" w:rsidRDefault="00C30A15" w:rsidP="00C30A15">
            <w:pPr>
              <w:jc w:val="center"/>
              <w:rPr>
                <w:rFonts w:ascii="Century Gothic" w:hAnsi="Century Gothic" w:cs="Calibri"/>
                <w:b/>
                <w:bCs/>
              </w:rPr>
            </w:pPr>
            <w:r w:rsidRPr="00A76C93">
              <w:rPr>
                <w:rFonts w:ascii="Century Gothic" w:hAnsi="Century Gothic" w:cs="Calibri"/>
                <w:b/>
                <w:bCs/>
              </w:rPr>
              <w:t>S</w:t>
            </w:r>
            <w:r w:rsidR="00134D0C" w:rsidRPr="00A76C93">
              <w:rPr>
                <w:rFonts w:ascii="Century Gothic" w:hAnsi="Century Gothic" w:cs="Calibri"/>
                <w:b/>
                <w:bCs/>
              </w:rPr>
              <w:t>ection</w:t>
            </w:r>
          </w:p>
          <w:p w14:paraId="40B02D49" w14:textId="2FEA6E2A" w:rsidR="00134D0C" w:rsidRPr="00A76C93" w:rsidRDefault="00134D0C" w:rsidP="00C30A15">
            <w:pPr>
              <w:jc w:val="center"/>
              <w:rPr>
                <w:rFonts w:ascii="Century Gothic" w:hAnsi="Century Gothic" w:cs="Calibri"/>
                <w:b/>
                <w:bCs/>
              </w:rPr>
            </w:pPr>
            <w:r w:rsidRPr="00A76C93">
              <w:rPr>
                <w:rFonts w:ascii="Century Gothic" w:hAnsi="Century Gothic" w:cs="Calibri"/>
                <w:b/>
                <w:bCs/>
              </w:rPr>
              <w:t>code</w:t>
            </w:r>
          </w:p>
        </w:tc>
        <w:tc>
          <w:tcPr>
            <w:tcW w:w="856" w:type="dxa"/>
            <w:tcBorders>
              <w:top w:val="nil"/>
              <w:left w:val="nil"/>
              <w:bottom w:val="single" w:sz="4" w:space="0" w:color="auto"/>
              <w:right w:val="single" w:sz="4" w:space="0" w:color="auto"/>
            </w:tcBorders>
            <w:shd w:val="clear" w:color="000000" w:fill="BDD7EE"/>
            <w:hideMark/>
          </w:tcPr>
          <w:p w14:paraId="08E23CBC" w14:textId="77777777" w:rsidR="00C30A15" w:rsidRPr="00A76C93" w:rsidRDefault="00134D0C" w:rsidP="00C30A15">
            <w:pPr>
              <w:jc w:val="center"/>
              <w:rPr>
                <w:rFonts w:ascii="Century Gothic" w:hAnsi="Century Gothic" w:cs="Calibri"/>
                <w:b/>
                <w:bCs/>
              </w:rPr>
            </w:pPr>
            <w:r w:rsidRPr="00A76C93">
              <w:rPr>
                <w:rFonts w:ascii="Century Gothic" w:hAnsi="Century Gothic" w:cs="Calibri"/>
                <w:b/>
                <w:bCs/>
              </w:rPr>
              <w:t>Line/</w:t>
            </w:r>
          </w:p>
          <w:p w14:paraId="41C624DB" w14:textId="71A959AD" w:rsidR="00134D0C" w:rsidRPr="00A76C93" w:rsidRDefault="00134D0C" w:rsidP="00C30A15">
            <w:pPr>
              <w:jc w:val="center"/>
              <w:rPr>
                <w:rFonts w:ascii="Century Gothic" w:hAnsi="Century Gothic" w:cs="Calibri"/>
                <w:b/>
                <w:bCs/>
              </w:rPr>
            </w:pPr>
            <w:r w:rsidRPr="00A76C93">
              <w:rPr>
                <w:rFonts w:ascii="Century Gothic" w:hAnsi="Century Gothic" w:cs="Calibri"/>
                <w:b/>
                <w:bCs/>
              </w:rPr>
              <w:t>section</w:t>
            </w:r>
          </w:p>
        </w:tc>
        <w:tc>
          <w:tcPr>
            <w:tcW w:w="1419" w:type="dxa"/>
            <w:tcBorders>
              <w:top w:val="nil"/>
              <w:left w:val="nil"/>
              <w:bottom w:val="single" w:sz="4" w:space="0" w:color="auto"/>
              <w:right w:val="single" w:sz="4" w:space="0" w:color="auto"/>
            </w:tcBorders>
            <w:shd w:val="clear" w:color="000000" w:fill="BDD7EE"/>
            <w:noWrap/>
            <w:hideMark/>
          </w:tcPr>
          <w:p w14:paraId="6980CF81" w14:textId="77777777" w:rsidR="00134D0C" w:rsidRPr="00A76C93" w:rsidRDefault="00134D0C" w:rsidP="00C30A15">
            <w:pPr>
              <w:jc w:val="center"/>
              <w:rPr>
                <w:rFonts w:ascii="Century Gothic" w:hAnsi="Century Gothic" w:cs="Calibri"/>
                <w:b/>
                <w:bCs/>
              </w:rPr>
            </w:pPr>
            <w:r w:rsidRPr="00A76C93">
              <w:rPr>
                <w:rFonts w:ascii="Century Gothic" w:hAnsi="Century Gothic" w:cs="Calibri"/>
                <w:b/>
                <w:bCs/>
              </w:rPr>
              <w:t>Text</w:t>
            </w:r>
          </w:p>
        </w:tc>
        <w:tc>
          <w:tcPr>
            <w:tcW w:w="5805" w:type="dxa"/>
            <w:tcBorders>
              <w:top w:val="nil"/>
              <w:left w:val="nil"/>
              <w:bottom w:val="single" w:sz="4" w:space="0" w:color="auto"/>
              <w:right w:val="single" w:sz="4" w:space="0" w:color="auto"/>
            </w:tcBorders>
            <w:shd w:val="clear" w:color="000000" w:fill="BDD7EE"/>
            <w:noWrap/>
            <w:hideMark/>
          </w:tcPr>
          <w:p w14:paraId="0DA581ED" w14:textId="77777777" w:rsidR="00134D0C" w:rsidRPr="00A76C93" w:rsidRDefault="00134D0C" w:rsidP="00C30A15">
            <w:pPr>
              <w:jc w:val="center"/>
              <w:rPr>
                <w:rFonts w:ascii="Century Gothic" w:hAnsi="Century Gothic" w:cs="Calibri"/>
                <w:b/>
                <w:bCs/>
              </w:rPr>
            </w:pPr>
            <w:r w:rsidRPr="00A76C93">
              <w:rPr>
                <w:rFonts w:ascii="Century Gothic" w:hAnsi="Century Gothic" w:cs="Calibri"/>
                <w:b/>
                <w:bCs/>
              </w:rPr>
              <w:t>Respondents' comments</w:t>
            </w:r>
          </w:p>
        </w:tc>
        <w:tc>
          <w:tcPr>
            <w:tcW w:w="4678" w:type="dxa"/>
            <w:tcBorders>
              <w:top w:val="nil"/>
              <w:left w:val="nil"/>
              <w:bottom w:val="single" w:sz="4" w:space="0" w:color="auto"/>
              <w:right w:val="single" w:sz="4" w:space="0" w:color="auto"/>
            </w:tcBorders>
            <w:shd w:val="clear" w:color="000000" w:fill="BDD7EE"/>
            <w:noWrap/>
            <w:hideMark/>
          </w:tcPr>
          <w:p w14:paraId="21761074" w14:textId="77777777" w:rsidR="00134D0C" w:rsidRPr="00A76C93" w:rsidRDefault="00134D0C" w:rsidP="00C30A15">
            <w:pPr>
              <w:jc w:val="center"/>
              <w:rPr>
                <w:rFonts w:ascii="Century Gothic" w:hAnsi="Century Gothic" w:cs="Calibri"/>
                <w:b/>
                <w:bCs/>
              </w:rPr>
            </w:pPr>
            <w:r w:rsidRPr="00A76C93">
              <w:rPr>
                <w:rFonts w:ascii="Century Gothic" w:hAnsi="Century Gothic" w:cs="Calibri"/>
                <w:b/>
                <w:bCs/>
              </w:rPr>
              <w:t>Suggested re-wording</w:t>
            </w:r>
          </w:p>
        </w:tc>
      </w:tr>
      <w:tr w:rsidR="007A3862" w:rsidRPr="00A76C93" w14:paraId="4CB2A367" w14:textId="77777777" w:rsidTr="009D4452">
        <w:trPr>
          <w:trHeight w:val="285"/>
        </w:trPr>
        <w:tc>
          <w:tcPr>
            <w:tcW w:w="1134" w:type="dxa"/>
            <w:tcBorders>
              <w:top w:val="nil"/>
              <w:left w:val="single" w:sz="4" w:space="0" w:color="auto"/>
              <w:bottom w:val="single" w:sz="4" w:space="0" w:color="auto"/>
              <w:right w:val="single" w:sz="4" w:space="0" w:color="auto"/>
            </w:tcBorders>
            <w:shd w:val="clear" w:color="auto" w:fill="auto"/>
            <w:noWrap/>
          </w:tcPr>
          <w:p w14:paraId="3FE4C6F5" w14:textId="5A9FC134" w:rsidR="00D94427" w:rsidRPr="00A76C93" w:rsidRDefault="00D94427" w:rsidP="00D94427">
            <w:pPr>
              <w:rPr>
                <w:rFonts w:ascii="Century Gothic" w:hAnsi="Century Gothic" w:cs="Calibri"/>
              </w:rPr>
            </w:pPr>
            <w:r w:rsidRPr="00A76C93">
              <w:rPr>
                <w:rFonts w:ascii="Century Gothic" w:hAnsi="Century Gothic" w:cs="Calibri"/>
              </w:rPr>
              <w:t>All</w:t>
            </w:r>
          </w:p>
        </w:tc>
        <w:tc>
          <w:tcPr>
            <w:tcW w:w="856" w:type="dxa"/>
            <w:tcBorders>
              <w:top w:val="nil"/>
              <w:left w:val="nil"/>
              <w:bottom w:val="single" w:sz="4" w:space="0" w:color="auto"/>
              <w:right w:val="single" w:sz="4" w:space="0" w:color="auto"/>
            </w:tcBorders>
            <w:shd w:val="clear" w:color="auto" w:fill="auto"/>
            <w:noWrap/>
          </w:tcPr>
          <w:p w14:paraId="46B16930" w14:textId="3DC3E15A" w:rsidR="00D94427" w:rsidRPr="00A76C93" w:rsidRDefault="00D94427" w:rsidP="00D94427">
            <w:pPr>
              <w:rPr>
                <w:rFonts w:ascii="Century Gothic" w:hAnsi="Century Gothic" w:cs="Calibri"/>
              </w:rPr>
            </w:pPr>
            <w:r w:rsidRPr="00A76C93">
              <w:rPr>
                <w:rFonts w:ascii="Century Gothic" w:hAnsi="Century Gothic" w:cs="Calibri"/>
              </w:rPr>
              <w:t>All</w:t>
            </w:r>
          </w:p>
        </w:tc>
        <w:tc>
          <w:tcPr>
            <w:tcW w:w="1419" w:type="dxa"/>
            <w:tcBorders>
              <w:top w:val="nil"/>
              <w:left w:val="nil"/>
              <w:bottom w:val="single" w:sz="4" w:space="0" w:color="auto"/>
              <w:right w:val="single" w:sz="4" w:space="0" w:color="auto"/>
            </w:tcBorders>
            <w:shd w:val="clear" w:color="auto" w:fill="auto"/>
          </w:tcPr>
          <w:p w14:paraId="1F1D3B85" w14:textId="1EA8FE08" w:rsidR="00D94427" w:rsidRPr="00A76C93" w:rsidRDefault="00D94427" w:rsidP="00D94427">
            <w:pPr>
              <w:rPr>
                <w:rFonts w:ascii="Century Gothic" w:hAnsi="Century Gothic" w:cs="Calibri"/>
              </w:rPr>
            </w:pPr>
            <w:r w:rsidRPr="00A76C93">
              <w:rPr>
                <w:rFonts w:ascii="Century Gothic" w:hAnsi="Century Gothic" w:cs="Calibri"/>
              </w:rPr>
              <w:t>General feedback</w:t>
            </w:r>
          </w:p>
        </w:tc>
        <w:tc>
          <w:tcPr>
            <w:tcW w:w="5805" w:type="dxa"/>
            <w:tcBorders>
              <w:top w:val="nil"/>
              <w:left w:val="nil"/>
              <w:bottom w:val="single" w:sz="4" w:space="0" w:color="auto"/>
              <w:right w:val="single" w:sz="4" w:space="0" w:color="auto"/>
            </w:tcBorders>
            <w:shd w:val="clear" w:color="auto" w:fill="auto"/>
          </w:tcPr>
          <w:p w14:paraId="628DBFF7" w14:textId="63EEBE24" w:rsidR="00F32105" w:rsidRPr="00A76C93" w:rsidRDefault="00D94427" w:rsidP="00D94427">
            <w:pPr>
              <w:rPr>
                <w:rFonts w:ascii="Century Gothic" w:hAnsi="Century Gothic" w:cs="Calibri"/>
              </w:rPr>
            </w:pPr>
            <w:r w:rsidRPr="00A76C93">
              <w:rPr>
                <w:rFonts w:ascii="Century Gothic" w:hAnsi="Century Gothic" w:cs="Calibri"/>
              </w:rPr>
              <w:t xml:space="preserve">The NCHA is the professional representative </w:t>
            </w:r>
            <w:r w:rsidR="00F32105" w:rsidRPr="00A76C93">
              <w:rPr>
                <w:rFonts w:ascii="Century Gothic" w:hAnsi="Century Gothic" w:cs="Calibri"/>
              </w:rPr>
              <w:t>body</w:t>
            </w:r>
            <w:r w:rsidRPr="00A76C93">
              <w:rPr>
                <w:rFonts w:ascii="Century Gothic" w:hAnsi="Century Gothic" w:cs="Calibri"/>
              </w:rPr>
              <w:t xml:space="preserve"> for hearing care providers</w:t>
            </w:r>
            <w:r w:rsidR="000553DA" w:rsidRPr="00A76C93">
              <w:rPr>
                <w:rFonts w:ascii="Century Gothic" w:hAnsi="Century Gothic" w:cs="Calibri"/>
              </w:rPr>
              <w:t xml:space="preserve">, </w:t>
            </w:r>
            <w:r w:rsidR="00B4043E" w:rsidRPr="00A76C93">
              <w:rPr>
                <w:rFonts w:ascii="Century Gothic" w:hAnsi="Century Gothic" w:cs="Calibri"/>
              </w:rPr>
              <w:t>and our members include</w:t>
            </w:r>
            <w:r w:rsidR="000553DA" w:rsidRPr="00A76C93">
              <w:rPr>
                <w:rFonts w:ascii="Century Gothic" w:hAnsi="Century Gothic" w:cs="Calibri"/>
              </w:rPr>
              <w:t xml:space="preserve"> individual</w:t>
            </w:r>
            <w:r w:rsidR="00B4043E" w:rsidRPr="00A76C93">
              <w:rPr>
                <w:rFonts w:ascii="Century Gothic" w:hAnsi="Century Gothic" w:cs="Calibri"/>
              </w:rPr>
              <w:t>s</w:t>
            </w:r>
            <w:r w:rsidR="000553DA" w:rsidRPr="00A76C93">
              <w:rPr>
                <w:rFonts w:ascii="Century Gothic" w:hAnsi="Century Gothic" w:cs="Calibri"/>
              </w:rPr>
              <w:t>, independent</w:t>
            </w:r>
            <w:r w:rsidR="00B4043E" w:rsidRPr="00A76C93">
              <w:rPr>
                <w:rFonts w:ascii="Century Gothic" w:hAnsi="Century Gothic" w:cs="Calibri"/>
              </w:rPr>
              <w:t xml:space="preserve"> practice owners</w:t>
            </w:r>
            <w:r w:rsidR="000553DA" w:rsidRPr="00A76C93">
              <w:rPr>
                <w:rFonts w:ascii="Century Gothic" w:hAnsi="Century Gothic" w:cs="Calibri"/>
              </w:rPr>
              <w:t xml:space="preserve"> and national provider organisations</w:t>
            </w:r>
            <w:r w:rsidRPr="00A76C93">
              <w:rPr>
                <w:rFonts w:ascii="Century Gothic" w:hAnsi="Century Gothic" w:cs="Calibri"/>
              </w:rPr>
              <w:t xml:space="preserve">. </w:t>
            </w:r>
            <w:r w:rsidR="00DA1748" w:rsidRPr="00A76C93">
              <w:rPr>
                <w:rFonts w:ascii="Century Gothic" w:hAnsi="Century Gothic" w:cs="Calibri"/>
              </w:rPr>
              <w:t xml:space="preserve"> </w:t>
            </w:r>
          </w:p>
          <w:p w14:paraId="6C3668E1" w14:textId="77777777" w:rsidR="00F32105" w:rsidRPr="00A76C93" w:rsidRDefault="00F32105" w:rsidP="00D94427">
            <w:pPr>
              <w:rPr>
                <w:rFonts w:ascii="Century Gothic" w:hAnsi="Century Gothic" w:cs="Calibri"/>
              </w:rPr>
            </w:pPr>
          </w:p>
          <w:p w14:paraId="402F55B4" w14:textId="4E944C1C" w:rsidR="00D94427" w:rsidRPr="00A76C93" w:rsidRDefault="00D94427" w:rsidP="00D94427">
            <w:pPr>
              <w:rPr>
                <w:rFonts w:ascii="Century Gothic" w:hAnsi="Century Gothic" w:cs="Calibri"/>
              </w:rPr>
            </w:pPr>
            <w:r w:rsidRPr="00A76C93">
              <w:rPr>
                <w:rFonts w:ascii="Century Gothic" w:hAnsi="Century Gothic" w:cs="Calibri"/>
              </w:rPr>
              <w:t xml:space="preserve">We welcome this opportunity </w:t>
            </w:r>
            <w:r w:rsidR="00324D24" w:rsidRPr="00A76C93">
              <w:rPr>
                <w:rFonts w:ascii="Century Gothic" w:hAnsi="Century Gothic" w:cs="Calibri"/>
              </w:rPr>
              <w:t xml:space="preserve">to comment </w:t>
            </w:r>
            <w:r w:rsidRPr="00A76C93">
              <w:rPr>
                <w:rFonts w:ascii="Century Gothic" w:hAnsi="Century Gothic" w:cs="Calibri"/>
              </w:rPr>
              <w:t xml:space="preserve">on the draft </w:t>
            </w:r>
            <w:r w:rsidR="003D28A0" w:rsidRPr="00A76C93">
              <w:rPr>
                <w:rFonts w:ascii="Century Gothic" w:hAnsi="Century Gothic" w:cs="Calibri"/>
              </w:rPr>
              <w:t xml:space="preserve">BSA </w:t>
            </w:r>
            <w:r w:rsidRPr="00A76C93">
              <w:rPr>
                <w:rFonts w:ascii="Century Gothic" w:hAnsi="Century Gothic" w:cs="Calibri"/>
              </w:rPr>
              <w:t xml:space="preserve">practice </w:t>
            </w:r>
            <w:r w:rsidR="000553DA" w:rsidRPr="00A76C93">
              <w:rPr>
                <w:rFonts w:ascii="Century Gothic" w:hAnsi="Century Gothic" w:cs="Calibri"/>
              </w:rPr>
              <w:t>guidance for aural care (wax removal)</w:t>
            </w:r>
            <w:r w:rsidR="00DA1748" w:rsidRPr="00A76C93">
              <w:rPr>
                <w:rFonts w:ascii="Century Gothic" w:hAnsi="Century Gothic" w:cs="Calibri"/>
              </w:rPr>
              <w:t>.</w:t>
            </w:r>
          </w:p>
          <w:p w14:paraId="040C83F0" w14:textId="6F2E4016" w:rsidR="000553DA" w:rsidRPr="00A76C93" w:rsidRDefault="000553DA" w:rsidP="00D94427">
            <w:pPr>
              <w:rPr>
                <w:rFonts w:ascii="Century Gothic" w:hAnsi="Century Gothic" w:cs="Calibri"/>
              </w:rPr>
            </w:pPr>
          </w:p>
          <w:p w14:paraId="5DFF0551" w14:textId="77777777" w:rsidR="003D28A0" w:rsidRPr="00A76C93" w:rsidRDefault="000553DA" w:rsidP="00D94427">
            <w:pPr>
              <w:rPr>
                <w:rFonts w:ascii="Century Gothic" w:hAnsi="Century Gothic" w:cs="Calibri"/>
              </w:rPr>
            </w:pPr>
            <w:r w:rsidRPr="00A76C93">
              <w:rPr>
                <w:rFonts w:ascii="Century Gothic" w:hAnsi="Century Gothic" w:cs="Calibri"/>
              </w:rPr>
              <w:t xml:space="preserve">The </w:t>
            </w:r>
            <w:r w:rsidR="00324D24" w:rsidRPr="00A76C93">
              <w:rPr>
                <w:rFonts w:ascii="Century Gothic" w:hAnsi="Century Gothic" w:cs="Calibri"/>
              </w:rPr>
              <w:t xml:space="preserve">draft </w:t>
            </w:r>
            <w:r w:rsidRPr="00A76C93">
              <w:rPr>
                <w:rFonts w:ascii="Century Gothic" w:hAnsi="Century Gothic" w:cs="Calibri"/>
              </w:rPr>
              <w:t xml:space="preserve">guidance is helpful and informative. Our feedback therefore focusses on technical and evidence-based points </w:t>
            </w:r>
            <w:r w:rsidR="00324D24" w:rsidRPr="00A76C93">
              <w:rPr>
                <w:rFonts w:ascii="Century Gothic" w:hAnsi="Century Gothic" w:cs="Calibri"/>
              </w:rPr>
              <w:t xml:space="preserve">with the goal of helping improve the final guidance. </w:t>
            </w:r>
            <w:r w:rsidRPr="00A76C93">
              <w:rPr>
                <w:rFonts w:ascii="Century Gothic" w:hAnsi="Century Gothic" w:cs="Calibri"/>
              </w:rPr>
              <w:t xml:space="preserve"> </w:t>
            </w:r>
          </w:p>
          <w:p w14:paraId="78EF6980" w14:textId="77777777" w:rsidR="003D28A0" w:rsidRPr="00A76C93" w:rsidRDefault="003D28A0" w:rsidP="00D94427">
            <w:pPr>
              <w:rPr>
                <w:rFonts w:ascii="Century Gothic" w:hAnsi="Century Gothic" w:cs="Calibri"/>
              </w:rPr>
            </w:pPr>
          </w:p>
          <w:p w14:paraId="4794282C" w14:textId="77777777" w:rsidR="003D28A0" w:rsidRPr="00A76C93" w:rsidRDefault="000553DA" w:rsidP="00D94427">
            <w:pPr>
              <w:rPr>
                <w:rFonts w:ascii="Century Gothic" w:hAnsi="Century Gothic" w:cs="Calibri"/>
              </w:rPr>
            </w:pPr>
            <w:r w:rsidRPr="00A76C93">
              <w:rPr>
                <w:rFonts w:ascii="Century Gothic" w:hAnsi="Century Gothic" w:cs="Calibri"/>
              </w:rPr>
              <w:t xml:space="preserve">We hope this is helpful and we look forward to seeing the </w:t>
            </w:r>
            <w:r w:rsidR="003D28A0" w:rsidRPr="00A76C93">
              <w:rPr>
                <w:rFonts w:ascii="Century Gothic" w:hAnsi="Century Gothic" w:cs="Calibri"/>
              </w:rPr>
              <w:t xml:space="preserve">final </w:t>
            </w:r>
            <w:r w:rsidRPr="00A76C93">
              <w:rPr>
                <w:rFonts w:ascii="Century Gothic" w:hAnsi="Century Gothic" w:cs="Calibri"/>
              </w:rPr>
              <w:t>guidance shortly.</w:t>
            </w:r>
            <w:r w:rsidR="00324D24" w:rsidRPr="00A76C93">
              <w:rPr>
                <w:rFonts w:ascii="Century Gothic" w:hAnsi="Century Gothic" w:cs="Calibri"/>
              </w:rPr>
              <w:t xml:space="preserve"> </w:t>
            </w:r>
          </w:p>
          <w:p w14:paraId="40AA27A7" w14:textId="77777777" w:rsidR="003D28A0" w:rsidRPr="00A76C93" w:rsidRDefault="003D28A0" w:rsidP="00D94427">
            <w:pPr>
              <w:rPr>
                <w:rFonts w:ascii="Century Gothic" w:hAnsi="Century Gothic" w:cs="Calibri"/>
              </w:rPr>
            </w:pPr>
          </w:p>
          <w:p w14:paraId="5C5D8B25" w14:textId="1FEA3EF9" w:rsidR="000553DA" w:rsidRPr="00A76C93" w:rsidRDefault="00324D24" w:rsidP="00D94427">
            <w:pPr>
              <w:rPr>
                <w:rFonts w:ascii="Century Gothic" w:hAnsi="Century Gothic" w:cs="Calibri"/>
              </w:rPr>
            </w:pPr>
            <w:r w:rsidRPr="00A76C93">
              <w:rPr>
                <w:rFonts w:ascii="Century Gothic" w:hAnsi="Century Gothic" w:cs="Calibri"/>
              </w:rPr>
              <w:t>We would be happy to answer any questions or clarify any points</w:t>
            </w:r>
            <w:r w:rsidR="003D28A0" w:rsidRPr="00A76C93">
              <w:rPr>
                <w:rFonts w:ascii="Century Gothic" w:hAnsi="Century Gothic" w:cs="Calibri"/>
              </w:rPr>
              <w:t xml:space="preserve"> </w:t>
            </w:r>
            <w:r w:rsidR="00B1752F" w:rsidRPr="00A76C93">
              <w:rPr>
                <w:rFonts w:ascii="Century Gothic" w:hAnsi="Century Gothic" w:cs="Calibri"/>
              </w:rPr>
              <w:t>made in</w:t>
            </w:r>
            <w:r w:rsidR="003D28A0" w:rsidRPr="00A76C93">
              <w:rPr>
                <w:rFonts w:ascii="Century Gothic" w:hAnsi="Century Gothic" w:cs="Calibri"/>
              </w:rPr>
              <w:t xml:space="preserve"> our response.</w:t>
            </w:r>
          </w:p>
          <w:p w14:paraId="3F811211" w14:textId="74CB8EB9" w:rsidR="00D94427" w:rsidRPr="00A76C93" w:rsidRDefault="00D94427" w:rsidP="00D94427">
            <w:pPr>
              <w:rPr>
                <w:rFonts w:ascii="Century Gothic" w:hAnsi="Century Gothic" w:cs="Calibri"/>
              </w:rPr>
            </w:pPr>
          </w:p>
        </w:tc>
        <w:tc>
          <w:tcPr>
            <w:tcW w:w="4678" w:type="dxa"/>
            <w:tcBorders>
              <w:top w:val="nil"/>
              <w:left w:val="nil"/>
              <w:bottom w:val="single" w:sz="4" w:space="0" w:color="auto"/>
              <w:right w:val="single" w:sz="4" w:space="0" w:color="auto"/>
            </w:tcBorders>
            <w:shd w:val="clear" w:color="auto" w:fill="auto"/>
            <w:noWrap/>
          </w:tcPr>
          <w:p w14:paraId="559EEB38" w14:textId="1398F154" w:rsidR="00D94427" w:rsidRPr="00A76C93" w:rsidRDefault="00D94427" w:rsidP="00D94427">
            <w:pPr>
              <w:rPr>
                <w:rFonts w:ascii="Century Gothic" w:hAnsi="Century Gothic" w:cs="Calibri"/>
                <w:color w:val="000000"/>
              </w:rPr>
            </w:pPr>
          </w:p>
        </w:tc>
      </w:tr>
      <w:tr w:rsidR="007A3862" w:rsidRPr="00A76C93" w14:paraId="0048EEEE" w14:textId="77777777" w:rsidTr="009D4452">
        <w:trPr>
          <w:trHeight w:val="285"/>
        </w:trPr>
        <w:tc>
          <w:tcPr>
            <w:tcW w:w="1134" w:type="dxa"/>
            <w:tcBorders>
              <w:top w:val="nil"/>
              <w:left w:val="single" w:sz="4" w:space="0" w:color="auto"/>
              <w:bottom w:val="single" w:sz="4" w:space="0" w:color="auto"/>
              <w:right w:val="single" w:sz="4" w:space="0" w:color="auto"/>
            </w:tcBorders>
            <w:shd w:val="clear" w:color="auto" w:fill="auto"/>
            <w:noWrap/>
          </w:tcPr>
          <w:p w14:paraId="20B4E815" w14:textId="774F6367" w:rsidR="00D94427" w:rsidRPr="00A76C93" w:rsidRDefault="00514DCC" w:rsidP="00D94427">
            <w:pPr>
              <w:rPr>
                <w:rFonts w:ascii="Century Gothic" w:hAnsi="Century Gothic" w:cs="Calibri"/>
              </w:rPr>
            </w:pPr>
            <w:r w:rsidRPr="00A76C93">
              <w:rPr>
                <w:rFonts w:ascii="Century Gothic" w:hAnsi="Century Gothic" w:cs="Calibri"/>
              </w:rPr>
              <w:t>All</w:t>
            </w:r>
          </w:p>
        </w:tc>
        <w:tc>
          <w:tcPr>
            <w:tcW w:w="856" w:type="dxa"/>
            <w:tcBorders>
              <w:top w:val="nil"/>
              <w:left w:val="nil"/>
              <w:bottom w:val="single" w:sz="4" w:space="0" w:color="auto"/>
              <w:right w:val="single" w:sz="4" w:space="0" w:color="auto"/>
            </w:tcBorders>
            <w:shd w:val="clear" w:color="auto" w:fill="auto"/>
            <w:noWrap/>
          </w:tcPr>
          <w:p w14:paraId="5738394E" w14:textId="622BF2BA" w:rsidR="00D94427" w:rsidRPr="00A76C93" w:rsidRDefault="00514DCC" w:rsidP="00D94427">
            <w:pPr>
              <w:rPr>
                <w:rFonts w:ascii="Century Gothic" w:hAnsi="Century Gothic" w:cs="Calibri"/>
              </w:rPr>
            </w:pPr>
            <w:r w:rsidRPr="00A76C93">
              <w:rPr>
                <w:rFonts w:ascii="Century Gothic" w:hAnsi="Century Gothic" w:cs="Calibri"/>
              </w:rPr>
              <w:t>All</w:t>
            </w:r>
          </w:p>
        </w:tc>
        <w:tc>
          <w:tcPr>
            <w:tcW w:w="1419" w:type="dxa"/>
            <w:tcBorders>
              <w:top w:val="nil"/>
              <w:left w:val="nil"/>
              <w:bottom w:val="single" w:sz="4" w:space="0" w:color="auto"/>
              <w:right w:val="single" w:sz="4" w:space="0" w:color="auto"/>
            </w:tcBorders>
            <w:shd w:val="clear" w:color="auto" w:fill="auto"/>
          </w:tcPr>
          <w:p w14:paraId="22FB50B6" w14:textId="1C81A73C" w:rsidR="00D94427" w:rsidRPr="00A76C93" w:rsidRDefault="00514DCC" w:rsidP="00D94427">
            <w:pPr>
              <w:rPr>
                <w:rFonts w:ascii="Century Gothic" w:hAnsi="Century Gothic" w:cs="Calibri"/>
              </w:rPr>
            </w:pPr>
            <w:r w:rsidRPr="00A76C93">
              <w:rPr>
                <w:rFonts w:ascii="Century Gothic" w:hAnsi="Century Gothic" w:cs="Calibri"/>
              </w:rPr>
              <w:t xml:space="preserve">References to </w:t>
            </w:r>
            <w:r w:rsidR="00DA1748" w:rsidRPr="00A76C93">
              <w:rPr>
                <w:rFonts w:ascii="Century Gothic" w:hAnsi="Century Gothic" w:cs="Calibri"/>
              </w:rPr>
              <w:t xml:space="preserve">NICE </w:t>
            </w:r>
          </w:p>
        </w:tc>
        <w:tc>
          <w:tcPr>
            <w:tcW w:w="5805" w:type="dxa"/>
            <w:tcBorders>
              <w:top w:val="nil"/>
              <w:left w:val="nil"/>
              <w:bottom w:val="single" w:sz="4" w:space="0" w:color="auto"/>
              <w:right w:val="single" w:sz="4" w:space="0" w:color="auto"/>
            </w:tcBorders>
            <w:shd w:val="clear" w:color="auto" w:fill="auto"/>
          </w:tcPr>
          <w:p w14:paraId="38FC3A77" w14:textId="63CF64F6" w:rsidR="00514DCC" w:rsidRPr="00A76C93" w:rsidRDefault="00324D24" w:rsidP="00324D24">
            <w:pPr>
              <w:rPr>
                <w:rFonts w:ascii="Century Gothic" w:hAnsi="Century Gothic" w:cs="Calibri"/>
              </w:rPr>
            </w:pPr>
            <w:r w:rsidRPr="00A76C93">
              <w:rPr>
                <w:rFonts w:ascii="Century Gothic" w:hAnsi="Century Gothic" w:cs="Calibri"/>
              </w:rPr>
              <w:t xml:space="preserve">The draft guidance </w:t>
            </w:r>
            <w:r w:rsidR="00DA1748" w:rsidRPr="00A76C93">
              <w:rPr>
                <w:rFonts w:ascii="Century Gothic" w:hAnsi="Century Gothic" w:cs="Calibri"/>
              </w:rPr>
              <w:t xml:space="preserve">states it has been developed in accordance with the NICE </w:t>
            </w:r>
            <w:r w:rsidRPr="00A76C93">
              <w:rPr>
                <w:rFonts w:ascii="Century Gothic" w:hAnsi="Century Gothic" w:cs="Calibri"/>
              </w:rPr>
              <w:t>guideline on hearing loss in adults: assessment and management</w:t>
            </w:r>
            <w:r w:rsidR="00DA1748" w:rsidRPr="00A76C93">
              <w:rPr>
                <w:rFonts w:ascii="Century Gothic" w:hAnsi="Century Gothic" w:cs="Calibri"/>
              </w:rPr>
              <w:t xml:space="preserve"> (line</w:t>
            </w:r>
            <w:r w:rsidR="00D43BAF" w:rsidRPr="00A76C93">
              <w:rPr>
                <w:rFonts w:ascii="Century Gothic" w:hAnsi="Century Gothic" w:cs="Calibri"/>
              </w:rPr>
              <w:t>s</w:t>
            </w:r>
            <w:r w:rsidR="00DA1748" w:rsidRPr="00A76C93">
              <w:rPr>
                <w:rFonts w:ascii="Century Gothic" w:hAnsi="Century Gothic" w:cs="Calibri"/>
              </w:rPr>
              <w:t xml:space="preserve"> 10</w:t>
            </w:r>
            <w:r w:rsidR="00514DCC" w:rsidRPr="00A76C93">
              <w:rPr>
                <w:rFonts w:ascii="Century Gothic" w:hAnsi="Century Gothic" w:cs="Calibri"/>
              </w:rPr>
              <w:t xml:space="preserve">0-101). </w:t>
            </w:r>
            <w:r w:rsidR="005739ED" w:rsidRPr="00A76C93">
              <w:rPr>
                <w:rFonts w:ascii="Century Gothic" w:hAnsi="Century Gothic" w:cs="Calibri"/>
              </w:rPr>
              <w:t xml:space="preserve"> I</w:t>
            </w:r>
            <w:r w:rsidR="00514DCC" w:rsidRPr="00A76C93">
              <w:rPr>
                <w:rFonts w:ascii="Century Gothic" w:hAnsi="Century Gothic" w:cs="Calibri"/>
              </w:rPr>
              <w:t xml:space="preserve">t is not clear </w:t>
            </w:r>
            <w:r w:rsidR="00514DCC" w:rsidRPr="00A76C93">
              <w:rPr>
                <w:rFonts w:ascii="Century Gothic" w:hAnsi="Century Gothic" w:cs="Calibri"/>
              </w:rPr>
              <w:lastRenderedPageBreak/>
              <w:t xml:space="preserve">the guidance is </w:t>
            </w:r>
            <w:r w:rsidR="005739ED" w:rsidRPr="00A76C93">
              <w:rPr>
                <w:rFonts w:ascii="Century Gothic" w:hAnsi="Century Gothic" w:cs="Calibri"/>
              </w:rPr>
              <w:t xml:space="preserve">yet </w:t>
            </w:r>
            <w:r w:rsidR="00514DCC" w:rsidRPr="00A76C93">
              <w:rPr>
                <w:rFonts w:ascii="Century Gothic" w:hAnsi="Century Gothic" w:cs="Calibri"/>
              </w:rPr>
              <w:t xml:space="preserve">in agreement with the NICE guideline. </w:t>
            </w:r>
          </w:p>
          <w:p w14:paraId="432A6F07" w14:textId="4DF23290" w:rsidR="00514DCC" w:rsidRPr="00A76C93" w:rsidRDefault="00514DCC" w:rsidP="00324D24">
            <w:pPr>
              <w:rPr>
                <w:rFonts w:ascii="Century Gothic" w:hAnsi="Century Gothic" w:cs="Calibri"/>
              </w:rPr>
            </w:pPr>
          </w:p>
          <w:p w14:paraId="4D130906" w14:textId="431FC919" w:rsidR="00514DCC" w:rsidRPr="00A76C93" w:rsidRDefault="00514DCC" w:rsidP="00514DCC">
            <w:pPr>
              <w:rPr>
                <w:rFonts w:ascii="Century Gothic" w:hAnsi="Century Gothic" w:cs="Calibri"/>
              </w:rPr>
            </w:pPr>
            <w:r w:rsidRPr="00A76C93">
              <w:rPr>
                <w:rFonts w:ascii="Century Gothic" w:hAnsi="Century Gothic" w:cs="Calibri"/>
              </w:rPr>
              <w:t>For example</w:t>
            </w:r>
            <w:r w:rsidR="005739ED" w:rsidRPr="00A76C93">
              <w:rPr>
                <w:rFonts w:ascii="Century Gothic" w:hAnsi="Century Gothic" w:cs="Calibri"/>
              </w:rPr>
              <w:t>:</w:t>
            </w:r>
          </w:p>
          <w:p w14:paraId="350A1385" w14:textId="5E9B9D52" w:rsidR="00C27D11" w:rsidRPr="00A76C93" w:rsidRDefault="00C27D11" w:rsidP="00514DCC">
            <w:pPr>
              <w:rPr>
                <w:rFonts w:ascii="Century Gothic" w:hAnsi="Century Gothic" w:cs="Calibri"/>
              </w:rPr>
            </w:pPr>
          </w:p>
          <w:p w14:paraId="043ED375" w14:textId="77777777" w:rsidR="00C27D11" w:rsidRPr="00A76C93" w:rsidRDefault="00C27D11" w:rsidP="00514DCC">
            <w:pPr>
              <w:rPr>
                <w:rFonts w:ascii="Century Gothic" w:hAnsi="Century Gothic" w:cs="Calibri"/>
              </w:rPr>
            </w:pPr>
          </w:p>
          <w:p w14:paraId="58EEC171" w14:textId="4F01EB26" w:rsidR="00514DCC" w:rsidRPr="00A76C93" w:rsidRDefault="005739ED" w:rsidP="005739ED">
            <w:pPr>
              <w:pStyle w:val="ListParagraph"/>
              <w:numPr>
                <w:ilvl w:val="0"/>
                <w:numId w:val="5"/>
              </w:numPr>
              <w:ind w:left="360"/>
              <w:rPr>
                <w:rFonts w:ascii="Century Gothic" w:hAnsi="Century Gothic"/>
              </w:rPr>
            </w:pPr>
            <w:r w:rsidRPr="00A76C93">
              <w:rPr>
                <w:rFonts w:ascii="Century Gothic" w:hAnsi="Century Gothic" w:cs="Calibri"/>
              </w:rPr>
              <w:t>T</w:t>
            </w:r>
            <w:r w:rsidR="00514DCC" w:rsidRPr="00A76C93">
              <w:rPr>
                <w:rFonts w:ascii="Century Gothic" w:hAnsi="Century Gothic" w:cs="Calibri"/>
              </w:rPr>
              <w:t>he NICE guideline was based on explicit inclusion/exclusion criteria</w:t>
            </w:r>
            <w:r w:rsidR="00730A39" w:rsidRPr="00A76C93">
              <w:rPr>
                <w:rFonts w:ascii="Century Gothic" w:hAnsi="Century Gothic" w:cs="Calibri"/>
              </w:rPr>
              <w:t>. E</w:t>
            </w:r>
            <w:r w:rsidR="00514DCC" w:rsidRPr="00A76C93">
              <w:rPr>
                <w:rFonts w:ascii="Century Gothic" w:hAnsi="Century Gothic"/>
              </w:rPr>
              <w:t>xclud</w:t>
            </w:r>
            <w:r w:rsidR="00730A39" w:rsidRPr="00A76C93">
              <w:rPr>
                <w:rFonts w:ascii="Century Gothic" w:hAnsi="Century Gothic"/>
              </w:rPr>
              <w:t>ing</w:t>
            </w:r>
            <w:r w:rsidR="00514DCC" w:rsidRPr="00A76C93">
              <w:rPr>
                <w:rFonts w:ascii="Century Gothic" w:hAnsi="Century Gothic"/>
              </w:rPr>
              <w:t xml:space="preserve"> people under the age of 18</w:t>
            </w:r>
            <w:r w:rsidR="008F16F5" w:rsidRPr="00A76C93">
              <w:rPr>
                <w:rFonts w:ascii="Century Gothic" w:hAnsi="Century Gothic"/>
              </w:rPr>
              <w:t>*</w:t>
            </w:r>
          </w:p>
          <w:p w14:paraId="0AF8A333" w14:textId="77777777" w:rsidR="005739ED" w:rsidRPr="00A76C93" w:rsidRDefault="005739ED" w:rsidP="005739ED">
            <w:pPr>
              <w:pStyle w:val="ListParagraph"/>
              <w:ind w:left="360"/>
              <w:rPr>
                <w:rFonts w:ascii="Century Gothic" w:hAnsi="Century Gothic"/>
              </w:rPr>
            </w:pPr>
          </w:p>
          <w:p w14:paraId="7CF83538" w14:textId="1A6AEF1A" w:rsidR="00514DCC" w:rsidRPr="00A76C93" w:rsidRDefault="00514DCC" w:rsidP="005739ED">
            <w:pPr>
              <w:pStyle w:val="ListParagraph"/>
              <w:ind w:left="360"/>
              <w:rPr>
                <w:rFonts w:ascii="Century Gothic" w:hAnsi="Century Gothic"/>
              </w:rPr>
            </w:pPr>
            <w:r w:rsidRPr="00A76C93">
              <w:rPr>
                <w:rFonts w:ascii="Century Gothic" w:hAnsi="Century Gothic"/>
              </w:rPr>
              <w:t xml:space="preserve">NICE’s guideline methods mean all its research was based on an adult population as defined. It is not clear the NICE guideline for adults </w:t>
            </w:r>
            <w:r w:rsidR="00730A39" w:rsidRPr="00A76C93">
              <w:rPr>
                <w:rFonts w:ascii="Century Gothic" w:hAnsi="Century Gothic"/>
              </w:rPr>
              <w:t xml:space="preserve">(wax section) </w:t>
            </w:r>
            <w:r w:rsidRPr="00A76C93">
              <w:rPr>
                <w:rFonts w:ascii="Century Gothic" w:hAnsi="Century Gothic"/>
              </w:rPr>
              <w:t xml:space="preserve">can be generalised to children </w:t>
            </w:r>
            <w:r w:rsidR="00BE18E4" w:rsidRPr="00A76C93">
              <w:rPr>
                <w:rFonts w:ascii="Century Gothic" w:hAnsi="Century Gothic"/>
              </w:rPr>
              <w:t xml:space="preserve">– e.g. see page </w:t>
            </w:r>
            <w:r w:rsidR="00350111" w:rsidRPr="00A76C93">
              <w:rPr>
                <w:rFonts w:ascii="Century Gothic" w:hAnsi="Century Gothic"/>
              </w:rPr>
              <w:t xml:space="preserve">46 </w:t>
            </w:r>
            <w:hyperlink r:id="rId7" w:history="1">
              <w:r w:rsidR="00350111" w:rsidRPr="00A76C93">
                <w:rPr>
                  <w:rStyle w:val="Hyperlink"/>
                  <w:rFonts w:ascii="Century Gothic" w:hAnsi="Century Gothic"/>
                </w:rPr>
                <w:t>https://www.nice.org.uk/guidance/ng98/evidence/appendices-as-pdf-4852693118</w:t>
              </w:r>
            </w:hyperlink>
          </w:p>
          <w:p w14:paraId="13637C09" w14:textId="77777777" w:rsidR="005739ED" w:rsidRPr="00A76C93" w:rsidRDefault="005739ED" w:rsidP="005739ED">
            <w:pPr>
              <w:pStyle w:val="ListParagraph"/>
              <w:ind w:left="360"/>
              <w:rPr>
                <w:rFonts w:ascii="Century Gothic" w:hAnsi="Century Gothic"/>
              </w:rPr>
            </w:pPr>
          </w:p>
          <w:p w14:paraId="0C1C290D" w14:textId="5921E8DF" w:rsidR="00514DCC" w:rsidRPr="00A76C93" w:rsidRDefault="00514DCC" w:rsidP="005739ED">
            <w:pPr>
              <w:pStyle w:val="ListParagraph"/>
              <w:ind w:left="360"/>
              <w:rPr>
                <w:rFonts w:ascii="Century Gothic" w:hAnsi="Century Gothic"/>
              </w:rPr>
            </w:pPr>
            <w:r w:rsidRPr="00A76C93">
              <w:rPr>
                <w:rFonts w:ascii="Century Gothic" w:hAnsi="Century Gothic"/>
              </w:rPr>
              <w:t xml:space="preserve">Section 2 of the BSA guidance, “Scope of guidance”, </w:t>
            </w:r>
            <w:r w:rsidR="00730A39" w:rsidRPr="00A76C93">
              <w:rPr>
                <w:rFonts w:ascii="Century Gothic" w:hAnsi="Century Gothic"/>
              </w:rPr>
              <w:t>l</w:t>
            </w:r>
            <w:r w:rsidR="00C27D11" w:rsidRPr="00A76C93">
              <w:rPr>
                <w:rFonts w:ascii="Century Gothic" w:hAnsi="Century Gothic"/>
              </w:rPr>
              <w:t>ines 121-122, states “Children under the age of 16</w:t>
            </w:r>
            <w:r w:rsidR="00730A39" w:rsidRPr="00A76C93">
              <w:rPr>
                <w:rFonts w:ascii="Century Gothic" w:hAnsi="Century Gothic"/>
              </w:rPr>
              <w:t xml:space="preserve"> </w:t>
            </w:r>
            <w:r w:rsidR="00C5339F" w:rsidRPr="00A76C93">
              <w:rPr>
                <w:rFonts w:ascii="Century Gothic" w:hAnsi="Century Gothic"/>
              </w:rPr>
              <w:t xml:space="preserve">years (children under the age of 18 outside the hospital environment)”. </w:t>
            </w:r>
          </w:p>
          <w:p w14:paraId="33C873AA" w14:textId="77777777" w:rsidR="005739ED" w:rsidRPr="00A76C93" w:rsidRDefault="005739ED" w:rsidP="005739ED">
            <w:pPr>
              <w:pStyle w:val="ListParagraph"/>
              <w:ind w:left="360"/>
              <w:rPr>
                <w:rFonts w:ascii="Century Gothic" w:hAnsi="Century Gothic"/>
              </w:rPr>
            </w:pPr>
          </w:p>
          <w:p w14:paraId="3AA44C18" w14:textId="77777777" w:rsidR="004B4527" w:rsidRPr="00A76C93" w:rsidRDefault="00C5339F" w:rsidP="00D57DE6">
            <w:pPr>
              <w:pStyle w:val="ListParagraph"/>
              <w:ind w:left="360"/>
              <w:rPr>
                <w:rFonts w:ascii="Century Gothic" w:hAnsi="Century Gothic"/>
              </w:rPr>
            </w:pPr>
            <w:r w:rsidRPr="00A76C93">
              <w:rPr>
                <w:rFonts w:ascii="Century Gothic" w:hAnsi="Century Gothic"/>
              </w:rPr>
              <w:t>This is a significant change to the NICE guideline scope</w:t>
            </w:r>
            <w:r w:rsidR="005739ED" w:rsidRPr="00A76C93">
              <w:rPr>
                <w:rFonts w:ascii="Century Gothic" w:hAnsi="Century Gothic"/>
              </w:rPr>
              <w:t xml:space="preserve"> – in the context in which NICE guidelines are developed.  </w:t>
            </w:r>
          </w:p>
          <w:p w14:paraId="6DD56217" w14:textId="77777777" w:rsidR="004B4527" w:rsidRPr="00A76C93" w:rsidRDefault="004B4527" w:rsidP="00D57DE6">
            <w:pPr>
              <w:pStyle w:val="ListParagraph"/>
              <w:ind w:left="360"/>
              <w:rPr>
                <w:rFonts w:ascii="Century Gothic" w:hAnsi="Century Gothic"/>
              </w:rPr>
            </w:pPr>
          </w:p>
          <w:p w14:paraId="2E836919" w14:textId="4AE71FD4" w:rsidR="00C5339F" w:rsidRPr="00A76C93" w:rsidRDefault="00C5339F" w:rsidP="00D57DE6">
            <w:pPr>
              <w:pStyle w:val="ListParagraph"/>
              <w:ind w:left="360"/>
              <w:rPr>
                <w:rFonts w:ascii="Century Gothic" w:hAnsi="Century Gothic"/>
              </w:rPr>
            </w:pPr>
            <w:r w:rsidRPr="00A76C93">
              <w:rPr>
                <w:rFonts w:ascii="Century Gothic" w:hAnsi="Century Gothic"/>
              </w:rPr>
              <w:t xml:space="preserve">If the BSA </w:t>
            </w:r>
            <w:r w:rsidR="00D57DE6" w:rsidRPr="00A76C93">
              <w:rPr>
                <w:rFonts w:ascii="Century Gothic" w:hAnsi="Century Gothic"/>
              </w:rPr>
              <w:t>would like to</w:t>
            </w:r>
            <w:r w:rsidRPr="00A76C93">
              <w:rPr>
                <w:rFonts w:ascii="Century Gothic" w:hAnsi="Century Gothic"/>
              </w:rPr>
              <w:t xml:space="preserve"> expand the scope of</w:t>
            </w:r>
            <w:r w:rsidR="00D57DE6" w:rsidRPr="00A76C93">
              <w:rPr>
                <w:rFonts w:ascii="Century Gothic" w:hAnsi="Century Gothic"/>
              </w:rPr>
              <w:t xml:space="preserve"> its aural care guidance it would be helpful if </w:t>
            </w:r>
            <w:r w:rsidR="00D57DE6" w:rsidRPr="00A76C93">
              <w:rPr>
                <w:rFonts w:ascii="Century Gothic" w:hAnsi="Century Gothic"/>
              </w:rPr>
              <w:lastRenderedPageBreak/>
              <w:t xml:space="preserve">the difference between the NICE scope and the BSA scope could be clarified for the reader. </w:t>
            </w:r>
          </w:p>
          <w:p w14:paraId="5F8AA20A" w14:textId="621FF8D8" w:rsidR="00514DCC" w:rsidRPr="00A76C93" w:rsidRDefault="00514DCC" w:rsidP="005739ED">
            <w:pPr>
              <w:rPr>
                <w:rFonts w:ascii="Century Gothic" w:hAnsi="Century Gothic" w:cs="Calibri"/>
              </w:rPr>
            </w:pPr>
          </w:p>
          <w:p w14:paraId="2539EB7A" w14:textId="77777777" w:rsidR="00EE1C26" w:rsidRPr="00A76C93" w:rsidRDefault="00BE18E4" w:rsidP="005739ED">
            <w:pPr>
              <w:pStyle w:val="ListParagraph"/>
              <w:numPr>
                <w:ilvl w:val="0"/>
                <w:numId w:val="6"/>
              </w:numPr>
              <w:ind w:left="360"/>
              <w:rPr>
                <w:rFonts w:ascii="Century Gothic" w:hAnsi="Century Gothic" w:cs="Calibri"/>
              </w:rPr>
            </w:pPr>
            <w:r w:rsidRPr="00A76C93">
              <w:rPr>
                <w:rFonts w:ascii="Century Gothic" w:hAnsi="Century Gothic" w:cs="Calibri"/>
              </w:rPr>
              <w:t>The BSA guidance</w:t>
            </w:r>
            <w:r w:rsidR="007A3862" w:rsidRPr="00A76C93">
              <w:rPr>
                <w:rFonts w:ascii="Century Gothic" w:hAnsi="Century Gothic" w:cs="Calibri"/>
              </w:rPr>
              <w:t xml:space="preserve"> notes</w:t>
            </w:r>
            <w:r w:rsidRPr="00A76C93">
              <w:rPr>
                <w:rFonts w:ascii="Century Gothic" w:hAnsi="Century Gothic" w:cs="Calibri"/>
              </w:rPr>
              <w:t xml:space="preserve"> that NICE has reported “wax removal using any method currently has a limited evidence base” (line 90-91)</w:t>
            </w:r>
            <w:r w:rsidR="007A3862" w:rsidRPr="00A76C93">
              <w:rPr>
                <w:rFonts w:ascii="Century Gothic" w:hAnsi="Century Gothic" w:cs="Calibri"/>
              </w:rPr>
              <w:t xml:space="preserve">. </w:t>
            </w:r>
          </w:p>
          <w:p w14:paraId="664A14DC" w14:textId="77777777" w:rsidR="00EE1C26" w:rsidRPr="00A76C93" w:rsidRDefault="00EE1C26" w:rsidP="00EE1C26">
            <w:pPr>
              <w:pStyle w:val="ListParagraph"/>
              <w:ind w:left="360"/>
              <w:rPr>
                <w:rFonts w:ascii="Century Gothic" w:hAnsi="Century Gothic" w:cs="Calibri"/>
              </w:rPr>
            </w:pPr>
          </w:p>
          <w:p w14:paraId="23F6AC1B" w14:textId="6DFB5B37" w:rsidR="007A3862" w:rsidRPr="00A76C93" w:rsidRDefault="007A3862" w:rsidP="00EE1C26">
            <w:pPr>
              <w:pStyle w:val="ListParagraph"/>
              <w:ind w:left="360"/>
              <w:rPr>
                <w:rFonts w:ascii="Century Gothic" w:hAnsi="Century Gothic" w:cs="Calibri"/>
              </w:rPr>
            </w:pPr>
            <w:r w:rsidRPr="00A76C93">
              <w:rPr>
                <w:rFonts w:ascii="Century Gothic" w:hAnsi="Century Gothic" w:cs="Calibri"/>
              </w:rPr>
              <w:t>We understand this interpretation</w:t>
            </w:r>
            <w:r w:rsidR="00EE1C26" w:rsidRPr="00A76C93">
              <w:rPr>
                <w:rFonts w:ascii="Century Gothic" w:hAnsi="Century Gothic" w:cs="Calibri"/>
              </w:rPr>
              <w:t xml:space="preserve"> and agree it is, strictly speaking, correct. However,</w:t>
            </w:r>
            <w:r w:rsidR="008E01E3" w:rsidRPr="00A76C93">
              <w:rPr>
                <w:rFonts w:ascii="Century Gothic" w:hAnsi="Century Gothic" w:cs="Calibri"/>
              </w:rPr>
              <w:t xml:space="preserve"> we are concerned this might confuse and mislead readers</w:t>
            </w:r>
            <w:r w:rsidR="00EE1C26" w:rsidRPr="00A76C93">
              <w:rPr>
                <w:rFonts w:ascii="Century Gothic" w:hAnsi="Century Gothic" w:cs="Calibri"/>
              </w:rPr>
              <w:t xml:space="preserve"> not familiar with the full NICE guideline.</w:t>
            </w:r>
          </w:p>
          <w:p w14:paraId="351EA760" w14:textId="77777777" w:rsidR="00EE1C26" w:rsidRPr="00A76C93" w:rsidRDefault="00EE1C26" w:rsidP="00EE1C26">
            <w:pPr>
              <w:pStyle w:val="ListParagraph"/>
              <w:ind w:left="360"/>
              <w:rPr>
                <w:rFonts w:ascii="Century Gothic" w:hAnsi="Century Gothic" w:cs="Calibri"/>
              </w:rPr>
            </w:pPr>
          </w:p>
          <w:p w14:paraId="30934182" w14:textId="2A460D30" w:rsidR="008E01E3" w:rsidRPr="00A76C93" w:rsidRDefault="00BE18E4" w:rsidP="005739ED">
            <w:pPr>
              <w:pStyle w:val="ListParagraph"/>
              <w:ind w:left="360"/>
              <w:rPr>
                <w:rFonts w:ascii="Century Gothic" w:hAnsi="Century Gothic" w:cs="Calibri"/>
              </w:rPr>
            </w:pPr>
            <w:r w:rsidRPr="00A76C93">
              <w:rPr>
                <w:rFonts w:ascii="Century Gothic" w:hAnsi="Century Gothic" w:cs="Calibri"/>
              </w:rPr>
              <w:t>The section</w:t>
            </w:r>
            <w:r w:rsidR="0054019B" w:rsidRPr="00A76C93">
              <w:rPr>
                <w:rFonts w:ascii="Century Gothic" w:hAnsi="Century Gothic" w:cs="Calibri"/>
              </w:rPr>
              <w:t>s</w:t>
            </w:r>
            <w:r w:rsidRPr="00A76C93">
              <w:rPr>
                <w:rFonts w:ascii="Century Gothic" w:hAnsi="Century Gothic" w:cs="Calibri"/>
              </w:rPr>
              <w:t xml:space="preserve"> on wax can be found in the full guideline </w:t>
            </w:r>
            <w:r w:rsidR="0054019B" w:rsidRPr="00A76C93">
              <w:rPr>
                <w:rFonts w:ascii="Century Gothic" w:hAnsi="Century Gothic" w:cs="Calibri"/>
              </w:rPr>
              <w:t xml:space="preserve"> - see p</w:t>
            </w:r>
            <w:r w:rsidRPr="00A76C93">
              <w:rPr>
                <w:rFonts w:ascii="Century Gothic" w:hAnsi="Century Gothic" w:cs="Calibri"/>
              </w:rPr>
              <w:t xml:space="preserve">ages 103 -136 </w:t>
            </w:r>
            <w:hyperlink r:id="rId8" w:history="1">
              <w:r w:rsidRPr="00A76C93">
                <w:rPr>
                  <w:rStyle w:val="Hyperlink"/>
                  <w:rFonts w:ascii="Century Gothic" w:hAnsi="Century Gothic"/>
                </w:rPr>
                <w:t>https://www.nice.org.uk/guidance/ng98/evidence/full-guideline-pdf-4852693117</w:t>
              </w:r>
            </w:hyperlink>
            <w:r w:rsidR="0054019B" w:rsidRPr="00A76C93">
              <w:rPr>
                <w:rFonts w:ascii="Century Gothic" w:hAnsi="Century Gothic"/>
              </w:rPr>
              <w:t xml:space="preserve">, and </w:t>
            </w:r>
            <w:r w:rsidR="0054019B" w:rsidRPr="00A76C93">
              <w:rPr>
                <w:rFonts w:ascii="Century Gothic" w:hAnsi="Century Gothic" w:cs="Calibri"/>
              </w:rPr>
              <w:t xml:space="preserve">pages 348- 361 and 392- 400 </w:t>
            </w:r>
            <w:hyperlink r:id="rId9" w:history="1">
              <w:r w:rsidR="0054019B" w:rsidRPr="00A76C93">
                <w:rPr>
                  <w:rStyle w:val="Hyperlink"/>
                  <w:rFonts w:ascii="Century Gothic" w:hAnsi="Century Gothic"/>
                </w:rPr>
                <w:t>https://www.nice.org.uk/guidance/ng98/evidence/appendices-as-pdf-4852693118</w:t>
              </w:r>
            </w:hyperlink>
          </w:p>
          <w:p w14:paraId="3521BD9D" w14:textId="77777777" w:rsidR="005739ED" w:rsidRPr="00A76C93" w:rsidRDefault="005739ED" w:rsidP="005739ED">
            <w:pPr>
              <w:pStyle w:val="ListParagraph"/>
              <w:ind w:left="360"/>
              <w:rPr>
                <w:rFonts w:ascii="Century Gothic" w:hAnsi="Century Gothic" w:cs="Calibri"/>
              </w:rPr>
            </w:pPr>
          </w:p>
          <w:p w14:paraId="175FAC5A" w14:textId="060D97F4" w:rsidR="00BE18E4" w:rsidRPr="00A76C93" w:rsidRDefault="008E01E3" w:rsidP="005739ED">
            <w:pPr>
              <w:pStyle w:val="ListParagraph"/>
              <w:ind w:left="360"/>
              <w:rPr>
                <w:rFonts w:ascii="Century Gothic" w:hAnsi="Century Gothic" w:cs="Calibri"/>
              </w:rPr>
            </w:pPr>
            <w:r w:rsidRPr="00A76C93">
              <w:rPr>
                <w:rFonts w:ascii="Century Gothic" w:hAnsi="Century Gothic" w:cs="Calibri"/>
              </w:rPr>
              <w:t xml:space="preserve">This shows there is evidence, but it is low or very low quality. </w:t>
            </w:r>
            <w:r w:rsidR="00C10BA7" w:rsidRPr="00A76C93">
              <w:rPr>
                <w:rFonts w:ascii="Century Gothic" w:hAnsi="Century Gothic" w:cs="Calibri"/>
              </w:rPr>
              <w:t xml:space="preserve">One of the main issues was that of comparing interventions in a non-biased way and other methodological challenges with the studies. The NICE Committee however acknowledged some methods where effective and other </w:t>
            </w:r>
            <w:r w:rsidR="00C10BA7" w:rsidRPr="00A76C93">
              <w:rPr>
                <w:rFonts w:ascii="Century Gothic" w:hAnsi="Century Gothic" w:cs="Calibri"/>
              </w:rPr>
              <w:lastRenderedPageBreak/>
              <w:t xml:space="preserve">methods </w:t>
            </w:r>
            <w:r w:rsidR="005739ED" w:rsidRPr="00A76C93">
              <w:rPr>
                <w:rFonts w:ascii="Century Gothic" w:hAnsi="Century Gothic" w:cs="Calibri"/>
              </w:rPr>
              <w:t>were</w:t>
            </w:r>
            <w:r w:rsidRPr="00A76C93">
              <w:rPr>
                <w:rFonts w:ascii="Century Gothic" w:hAnsi="Century Gothic" w:cs="Calibri"/>
              </w:rPr>
              <w:t xml:space="preserve"> unsafe. This is not the same as </w:t>
            </w:r>
            <w:r w:rsidRPr="00A76C93">
              <w:rPr>
                <w:rFonts w:ascii="Century Gothic" w:hAnsi="Century Gothic" w:cs="Calibri"/>
                <w:i/>
                <w:iCs/>
              </w:rPr>
              <w:t xml:space="preserve">any </w:t>
            </w:r>
            <w:r w:rsidRPr="00A76C93">
              <w:rPr>
                <w:rFonts w:ascii="Century Gothic" w:hAnsi="Century Gothic" w:cs="Calibri"/>
              </w:rPr>
              <w:t>method currently having a limited evidence base</w:t>
            </w:r>
            <w:r w:rsidR="00994C42" w:rsidRPr="00A76C93">
              <w:rPr>
                <w:rFonts w:ascii="Century Gothic" w:hAnsi="Century Gothic" w:cs="Calibri"/>
              </w:rPr>
              <w:t>: there are some methods which should not be used</w:t>
            </w:r>
            <w:r w:rsidRPr="00A76C93">
              <w:rPr>
                <w:rFonts w:ascii="Century Gothic" w:hAnsi="Century Gothic" w:cs="Calibri"/>
              </w:rPr>
              <w:t>.</w:t>
            </w:r>
            <w:r w:rsidR="00994C42" w:rsidRPr="00A76C93">
              <w:rPr>
                <w:rFonts w:ascii="Century Gothic" w:hAnsi="Century Gothic" w:cs="Calibri"/>
              </w:rPr>
              <w:t xml:space="preserve"> </w:t>
            </w:r>
            <w:r w:rsidRPr="00A76C93">
              <w:rPr>
                <w:rFonts w:ascii="Century Gothic" w:hAnsi="Century Gothic" w:cs="Calibri"/>
              </w:rPr>
              <w:t xml:space="preserve"> </w:t>
            </w:r>
            <w:r w:rsidR="005739ED" w:rsidRPr="00A76C93">
              <w:rPr>
                <w:rFonts w:ascii="Century Gothic" w:hAnsi="Century Gothic" w:cs="Calibri"/>
              </w:rPr>
              <w:t>It would be helpful if the final BSA guidance could communicate these and other importan</w:t>
            </w:r>
            <w:r w:rsidR="00994C42" w:rsidRPr="00A76C93">
              <w:rPr>
                <w:rFonts w:ascii="Century Gothic" w:hAnsi="Century Gothic" w:cs="Calibri"/>
              </w:rPr>
              <w:t>t</w:t>
            </w:r>
            <w:r w:rsidR="005739ED" w:rsidRPr="00A76C93">
              <w:rPr>
                <w:rFonts w:ascii="Century Gothic" w:hAnsi="Century Gothic" w:cs="Calibri"/>
              </w:rPr>
              <w:t xml:space="preserve"> clinical nuances </w:t>
            </w:r>
          </w:p>
          <w:p w14:paraId="03C2F811" w14:textId="69B34824" w:rsidR="005739ED" w:rsidRPr="00A76C93" w:rsidRDefault="005739ED" w:rsidP="005739ED">
            <w:pPr>
              <w:pStyle w:val="ListParagraph"/>
              <w:ind w:left="360"/>
              <w:rPr>
                <w:rFonts w:ascii="Century Gothic" w:hAnsi="Century Gothic" w:cs="Calibri"/>
              </w:rPr>
            </w:pPr>
          </w:p>
          <w:p w14:paraId="1DE36E1D" w14:textId="6A1D7F91" w:rsidR="005739ED" w:rsidRPr="00A76C93" w:rsidRDefault="005739ED" w:rsidP="005739ED">
            <w:pPr>
              <w:pStyle w:val="ListParagraph"/>
              <w:numPr>
                <w:ilvl w:val="0"/>
                <w:numId w:val="13"/>
              </w:numPr>
              <w:rPr>
                <w:rFonts w:ascii="Century Gothic" w:hAnsi="Century Gothic" w:cs="Calibri"/>
              </w:rPr>
            </w:pPr>
            <w:r w:rsidRPr="00A76C93">
              <w:rPr>
                <w:rFonts w:ascii="Century Gothic" w:hAnsi="Century Gothic" w:cs="Calibri"/>
              </w:rPr>
              <w:t xml:space="preserve">Linked to the points above, the BSA guidance </w:t>
            </w:r>
            <w:r w:rsidR="00CB4944" w:rsidRPr="00A76C93">
              <w:rPr>
                <w:rFonts w:ascii="Century Gothic" w:hAnsi="Century Gothic" w:cs="Calibri"/>
              </w:rPr>
              <w:t>has</w:t>
            </w:r>
            <w:r w:rsidRPr="00A76C93">
              <w:rPr>
                <w:rFonts w:ascii="Century Gothic" w:hAnsi="Century Gothic" w:cs="Calibri"/>
              </w:rPr>
              <w:t xml:space="preserve"> introduced a definition of “routine ears” which NICE does not use. Some of the listed exclusion criteria in this BSA guidance were listed by NICE for irrigation, not microsuction for example. It would be helpful to look again at the NICE guideline here</w:t>
            </w:r>
            <w:r w:rsidR="00EA52C2" w:rsidRPr="00A76C93">
              <w:rPr>
                <w:rFonts w:ascii="Century Gothic" w:hAnsi="Century Gothic" w:cs="Calibri"/>
              </w:rPr>
              <w:t xml:space="preserve">. To assist with </w:t>
            </w:r>
            <w:r w:rsidR="008F79AD" w:rsidRPr="00A76C93">
              <w:rPr>
                <w:rFonts w:ascii="Century Gothic" w:hAnsi="Century Gothic" w:cs="Calibri"/>
              </w:rPr>
              <w:t>this,</w:t>
            </w:r>
            <w:r w:rsidR="00EA52C2" w:rsidRPr="00A76C93">
              <w:rPr>
                <w:rFonts w:ascii="Century Gothic" w:hAnsi="Century Gothic" w:cs="Calibri"/>
              </w:rPr>
              <w:t xml:space="preserve"> </w:t>
            </w:r>
            <w:r w:rsidR="00CB4944" w:rsidRPr="00A76C93">
              <w:rPr>
                <w:rFonts w:ascii="Century Gothic" w:hAnsi="Century Gothic" w:cs="Calibri"/>
              </w:rPr>
              <w:t xml:space="preserve">we provide more feedback on </w:t>
            </w:r>
            <w:r w:rsidR="008F79AD" w:rsidRPr="00A76C93">
              <w:rPr>
                <w:rFonts w:ascii="Century Gothic" w:hAnsi="Century Gothic" w:cs="Calibri"/>
              </w:rPr>
              <w:t xml:space="preserve">in </w:t>
            </w:r>
            <w:r w:rsidR="00D728E5" w:rsidRPr="00A76C93">
              <w:rPr>
                <w:rFonts w:ascii="Century Gothic" w:hAnsi="Century Gothic" w:cs="Calibri"/>
              </w:rPr>
              <w:t xml:space="preserve">our </w:t>
            </w:r>
            <w:r w:rsidR="008F79AD" w:rsidRPr="00A76C93">
              <w:rPr>
                <w:rFonts w:ascii="Century Gothic" w:hAnsi="Century Gothic" w:cs="Calibri"/>
              </w:rPr>
              <w:t>other comments</w:t>
            </w:r>
            <w:r w:rsidR="00EA52C2" w:rsidRPr="00A76C93">
              <w:rPr>
                <w:rFonts w:ascii="Century Gothic" w:hAnsi="Century Gothic" w:cs="Calibri"/>
              </w:rPr>
              <w:t>.</w:t>
            </w:r>
          </w:p>
          <w:p w14:paraId="1B69FB45" w14:textId="77777777" w:rsidR="00C5339F" w:rsidRPr="00A76C93" w:rsidRDefault="00C5339F" w:rsidP="00324D24">
            <w:pPr>
              <w:rPr>
                <w:rFonts w:ascii="Century Gothic" w:hAnsi="Century Gothic" w:cs="Calibri"/>
              </w:rPr>
            </w:pPr>
          </w:p>
          <w:p w14:paraId="7193F4C0" w14:textId="783F222E" w:rsidR="00C5339F" w:rsidRPr="00A76C93" w:rsidRDefault="00C5339F" w:rsidP="00297239">
            <w:pPr>
              <w:rPr>
                <w:rFonts w:ascii="Century Gothic" w:hAnsi="Century Gothic"/>
              </w:rPr>
            </w:pPr>
            <w:r w:rsidRPr="00A76C93">
              <w:rPr>
                <w:rFonts w:ascii="Century Gothic" w:hAnsi="Century Gothic"/>
              </w:rPr>
              <w:t xml:space="preserve">Our principle concern here, as a provider of medical malpractice insurance that supports </w:t>
            </w:r>
            <w:r w:rsidR="00D85D53" w:rsidRPr="00A76C93">
              <w:rPr>
                <w:rFonts w:ascii="Century Gothic" w:hAnsi="Century Gothic"/>
              </w:rPr>
              <w:t>evidence-based</w:t>
            </w:r>
            <w:r w:rsidRPr="00A76C93">
              <w:rPr>
                <w:rFonts w:ascii="Century Gothic" w:hAnsi="Century Gothic"/>
              </w:rPr>
              <w:t xml:space="preserve"> practice</w:t>
            </w:r>
            <w:r w:rsidR="00297239" w:rsidRPr="00A76C93">
              <w:rPr>
                <w:rFonts w:ascii="Century Gothic" w:hAnsi="Century Gothic"/>
              </w:rPr>
              <w:t>, is</w:t>
            </w:r>
            <w:r w:rsidRPr="00A76C93">
              <w:rPr>
                <w:rFonts w:ascii="Century Gothic" w:hAnsi="Century Gothic"/>
              </w:rPr>
              <w:t xml:space="preserve"> to reduce risk for patients</w:t>
            </w:r>
            <w:r w:rsidR="00297239" w:rsidRPr="00A76C93">
              <w:rPr>
                <w:rFonts w:ascii="Century Gothic" w:hAnsi="Century Gothic"/>
              </w:rPr>
              <w:t xml:space="preserve"> and clinicians. At present </w:t>
            </w:r>
            <w:r w:rsidRPr="00A76C93">
              <w:rPr>
                <w:rFonts w:ascii="Century Gothic" w:hAnsi="Century Gothic"/>
              </w:rPr>
              <w:t xml:space="preserve">readers might assume the BSA guidance is consistent with the NICE guideline and inform patients that this is the case. </w:t>
            </w:r>
            <w:r w:rsidR="00297239" w:rsidRPr="00A76C93">
              <w:rPr>
                <w:rFonts w:ascii="Century Gothic" w:hAnsi="Century Gothic"/>
              </w:rPr>
              <w:t xml:space="preserve">In some cases, this could </w:t>
            </w:r>
            <w:r w:rsidRPr="00A76C93">
              <w:rPr>
                <w:rFonts w:ascii="Century Gothic" w:hAnsi="Century Gothic"/>
              </w:rPr>
              <w:t xml:space="preserve">risk misinforming </w:t>
            </w:r>
            <w:r w:rsidR="00297239" w:rsidRPr="00A76C93">
              <w:rPr>
                <w:rFonts w:ascii="Century Gothic" w:hAnsi="Century Gothic"/>
              </w:rPr>
              <w:t>patients,</w:t>
            </w:r>
            <w:r w:rsidRPr="00A76C93">
              <w:rPr>
                <w:rFonts w:ascii="Century Gothic" w:hAnsi="Century Gothic"/>
              </w:rPr>
              <w:t xml:space="preserve"> </w:t>
            </w:r>
            <w:r w:rsidR="00297239" w:rsidRPr="00A76C93">
              <w:rPr>
                <w:rFonts w:ascii="Century Gothic" w:hAnsi="Century Gothic"/>
              </w:rPr>
              <w:t xml:space="preserve">and, in those cases, </w:t>
            </w:r>
            <w:r w:rsidRPr="00A76C93">
              <w:rPr>
                <w:rFonts w:ascii="Century Gothic" w:hAnsi="Century Gothic"/>
              </w:rPr>
              <w:t xml:space="preserve">informed consent </w:t>
            </w:r>
            <w:r w:rsidR="00297239" w:rsidRPr="00A76C93">
              <w:rPr>
                <w:rFonts w:ascii="Century Gothic" w:hAnsi="Century Gothic"/>
              </w:rPr>
              <w:t xml:space="preserve">is unlikely to have been established. </w:t>
            </w:r>
          </w:p>
          <w:p w14:paraId="787C1982" w14:textId="77777777" w:rsidR="00297239" w:rsidRPr="00A76C93" w:rsidRDefault="00297239" w:rsidP="00297239">
            <w:pPr>
              <w:rPr>
                <w:rFonts w:ascii="Century Gothic" w:hAnsi="Century Gothic" w:cs="Calibri"/>
              </w:rPr>
            </w:pPr>
          </w:p>
          <w:p w14:paraId="531B3898" w14:textId="1916DEF2" w:rsidR="006B7435" w:rsidRPr="00A76C93" w:rsidRDefault="006B7435" w:rsidP="00297239">
            <w:pPr>
              <w:rPr>
                <w:rFonts w:ascii="Century Gothic" w:hAnsi="Century Gothic" w:cs="Calibri"/>
              </w:rPr>
            </w:pPr>
            <w:r w:rsidRPr="00A76C93">
              <w:rPr>
                <w:rFonts w:ascii="Century Gothic" w:hAnsi="Century Gothic" w:cs="Calibri"/>
              </w:rPr>
              <w:t>End note</w:t>
            </w:r>
          </w:p>
          <w:p w14:paraId="0B88DEDB" w14:textId="77777777" w:rsidR="008F16F5" w:rsidRDefault="008F16F5" w:rsidP="00297239">
            <w:pPr>
              <w:rPr>
                <w:rFonts w:ascii="Century Gothic" w:hAnsi="Century Gothic" w:cs="Calibri"/>
              </w:rPr>
            </w:pPr>
            <w:r w:rsidRPr="00A76C93">
              <w:rPr>
                <w:rFonts w:ascii="Century Gothic" w:hAnsi="Century Gothic" w:cs="Calibri"/>
              </w:rPr>
              <w:lastRenderedPageBreak/>
              <w:t>*Although there were some exceptions</w:t>
            </w:r>
            <w:r w:rsidR="003B3184">
              <w:rPr>
                <w:rFonts w:ascii="Century Gothic" w:hAnsi="Century Gothic" w:cs="Calibri"/>
              </w:rPr>
              <w:t xml:space="preserve"> on age – e.g.</w:t>
            </w:r>
            <w:r w:rsidRPr="00A76C93">
              <w:rPr>
                <w:rFonts w:ascii="Century Gothic" w:hAnsi="Century Gothic" w:cs="Calibri"/>
              </w:rPr>
              <w:t xml:space="preserve"> </w:t>
            </w:r>
            <w:r w:rsidR="003B3184">
              <w:rPr>
                <w:rFonts w:ascii="Century Gothic" w:hAnsi="Century Gothic" w:cs="Calibri"/>
              </w:rPr>
              <w:t xml:space="preserve">hearing loss that occurred before the age of 18 but the patient presented as an adult, </w:t>
            </w:r>
            <w:r w:rsidRPr="00A76C93">
              <w:rPr>
                <w:rFonts w:ascii="Century Gothic" w:hAnsi="Century Gothic" w:cs="Calibri"/>
              </w:rPr>
              <w:t xml:space="preserve">the research/recommendations on wax management were – from all that we can see in the full NICE guideline and annexes – restricted to adults aged 18 and older. </w:t>
            </w:r>
          </w:p>
          <w:p w14:paraId="1E5414C2" w14:textId="0D9E434F" w:rsidR="003B3184" w:rsidRPr="00A76C93" w:rsidRDefault="003B3184" w:rsidP="00297239">
            <w:pPr>
              <w:rPr>
                <w:rFonts w:ascii="Century Gothic" w:hAnsi="Century Gothic" w:cs="Calibri"/>
              </w:rPr>
            </w:pPr>
          </w:p>
        </w:tc>
        <w:tc>
          <w:tcPr>
            <w:tcW w:w="4678" w:type="dxa"/>
            <w:tcBorders>
              <w:top w:val="nil"/>
              <w:left w:val="nil"/>
              <w:bottom w:val="single" w:sz="4" w:space="0" w:color="auto"/>
              <w:right w:val="single" w:sz="4" w:space="0" w:color="auto"/>
            </w:tcBorders>
            <w:shd w:val="clear" w:color="auto" w:fill="auto"/>
            <w:noWrap/>
          </w:tcPr>
          <w:p w14:paraId="455308D5" w14:textId="77777777" w:rsidR="009D4452" w:rsidRDefault="00C5339F" w:rsidP="00D94427">
            <w:pPr>
              <w:rPr>
                <w:rFonts w:ascii="Century Gothic" w:hAnsi="Century Gothic" w:cs="Calibri"/>
                <w:color w:val="000000"/>
              </w:rPr>
            </w:pPr>
            <w:r w:rsidRPr="00A76C93">
              <w:rPr>
                <w:rFonts w:ascii="Century Gothic" w:hAnsi="Century Gothic" w:cs="Calibri"/>
                <w:color w:val="000000"/>
              </w:rPr>
              <w:lastRenderedPageBreak/>
              <w:t xml:space="preserve">Check all references to NICE, to ensure these are correct before publication. </w:t>
            </w:r>
          </w:p>
          <w:p w14:paraId="52797179" w14:textId="77777777" w:rsidR="009D4452" w:rsidRDefault="009D4452" w:rsidP="00D94427">
            <w:pPr>
              <w:rPr>
                <w:rFonts w:ascii="Century Gothic" w:hAnsi="Century Gothic" w:cs="Calibri"/>
                <w:color w:val="000000"/>
              </w:rPr>
            </w:pPr>
          </w:p>
          <w:p w14:paraId="16F9DE5C" w14:textId="1D86ABCC" w:rsidR="00D94427" w:rsidRPr="00A76C93" w:rsidRDefault="00C5339F" w:rsidP="00D94427">
            <w:pPr>
              <w:rPr>
                <w:rFonts w:ascii="Century Gothic" w:hAnsi="Century Gothic" w:cs="Calibri"/>
                <w:color w:val="000000"/>
              </w:rPr>
            </w:pPr>
            <w:r w:rsidRPr="00A76C93">
              <w:rPr>
                <w:rFonts w:ascii="Century Gothic" w:hAnsi="Century Gothic" w:cs="Calibri"/>
                <w:color w:val="000000"/>
              </w:rPr>
              <w:lastRenderedPageBreak/>
              <w:t xml:space="preserve">We would be happy to assist with this if that would be helpful. </w:t>
            </w:r>
            <w:r w:rsidR="00C11683" w:rsidRPr="00A76C93">
              <w:rPr>
                <w:rFonts w:ascii="Century Gothic" w:hAnsi="Century Gothic" w:cs="Calibri"/>
                <w:color w:val="000000"/>
              </w:rPr>
              <w:t>For now, we include key suggested re-wording below</w:t>
            </w:r>
          </w:p>
          <w:p w14:paraId="08E0F0FF" w14:textId="77777777" w:rsidR="00C11683" w:rsidRPr="00A76C93" w:rsidRDefault="00C11683" w:rsidP="00D94427">
            <w:pPr>
              <w:rPr>
                <w:rFonts w:ascii="Century Gothic" w:hAnsi="Century Gothic" w:cs="Calibri"/>
                <w:color w:val="000000"/>
              </w:rPr>
            </w:pPr>
          </w:p>
          <w:p w14:paraId="710C25C9" w14:textId="368EB97E" w:rsidR="00C11683" w:rsidRPr="00A76C93" w:rsidRDefault="00E77A51" w:rsidP="00D94427">
            <w:pPr>
              <w:rPr>
                <w:rFonts w:ascii="Century Gothic" w:hAnsi="Century Gothic" w:cs="Calibri"/>
                <w:b/>
                <w:bCs/>
                <w:color w:val="000000"/>
              </w:rPr>
            </w:pPr>
            <w:r w:rsidRPr="00A76C93">
              <w:rPr>
                <w:rFonts w:ascii="Century Gothic" w:hAnsi="Century Gothic" w:cs="Calibri"/>
                <w:b/>
                <w:bCs/>
                <w:color w:val="000000"/>
              </w:rPr>
              <w:t>Reword the following on this basis:</w:t>
            </w:r>
          </w:p>
          <w:p w14:paraId="34C3916C" w14:textId="77777777" w:rsidR="00C11683" w:rsidRPr="00A76C93" w:rsidRDefault="00C11683" w:rsidP="00D94427">
            <w:pPr>
              <w:rPr>
                <w:rFonts w:ascii="Century Gothic" w:hAnsi="Century Gothic" w:cs="Calibri"/>
                <w:color w:val="000000"/>
              </w:rPr>
            </w:pPr>
          </w:p>
          <w:p w14:paraId="79C16757" w14:textId="290F3A6B" w:rsidR="009B66C6" w:rsidRPr="00A76C93" w:rsidRDefault="009B66C6" w:rsidP="00C65170">
            <w:pPr>
              <w:pStyle w:val="ListParagraph"/>
              <w:numPr>
                <w:ilvl w:val="0"/>
                <w:numId w:val="7"/>
              </w:numPr>
              <w:rPr>
                <w:rFonts w:ascii="Century Gothic" w:hAnsi="Century Gothic" w:cs="Calibri"/>
                <w:color w:val="000000"/>
              </w:rPr>
            </w:pPr>
            <w:r w:rsidRPr="00A76C93">
              <w:rPr>
                <w:rFonts w:ascii="Century Gothic" w:hAnsi="Century Gothic" w:cs="Calibri"/>
                <w:color w:val="000000"/>
              </w:rPr>
              <w:t>Lines 90-92 to read “The NICE guideline on adult hearing loss shows that certain methods of wax removal are effective and that others should not be used. The clinical evidence supporting current recommended procedures however is of either low or very low quality. NICE also found no robust health economic evidence supporting the use of one technique over another</w:t>
            </w:r>
            <w:r w:rsidR="00297239" w:rsidRPr="00A76C93">
              <w:rPr>
                <w:rFonts w:ascii="Century Gothic" w:hAnsi="Century Gothic" w:cs="Calibri"/>
                <w:color w:val="000000"/>
              </w:rPr>
              <w:t>.</w:t>
            </w:r>
            <w:r w:rsidRPr="00A76C93">
              <w:rPr>
                <w:rFonts w:ascii="Century Gothic" w:hAnsi="Century Gothic" w:cs="Calibri"/>
                <w:color w:val="000000"/>
              </w:rPr>
              <w:t>”</w:t>
            </w:r>
          </w:p>
          <w:p w14:paraId="597C3E9B" w14:textId="77777777" w:rsidR="009B66C6" w:rsidRPr="00A76C93" w:rsidRDefault="009B66C6" w:rsidP="009B66C6">
            <w:pPr>
              <w:pStyle w:val="ListParagraph"/>
              <w:ind w:left="360"/>
              <w:rPr>
                <w:rFonts w:ascii="Century Gothic" w:hAnsi="Century Gothic" w:cs="Calibri"/>
                <w:color w:val="000000"/>
              </w:rPr>
            </w:pPr>
          </w:p>
          <w:p w14:paraId="1122113C" w14:textId="7E57C307" w:rsidR="00C11683" w:rsidRPr="00A76C93" w:rsidRDefault="00C11683" w:rsidP="00C11683">
            <w:pPr>
              <w:pStyle w:val="ListParagraph"/>
              <w:numPr>
                <w:ilvl w:val="0"/>
                <w:numId w:val="7"/>
              </w:numPr>
              <w:rPr>
                <w:rFonts w:ascii="Century Gothic" w:hAnsi="Century Gothic" w:cs="Calibri"/>
                <w:color w:val="000000"/>
              </w:rPr>
            </w:pPr>
            <w:r w:rsidRPr="00A76C93">
              <w:rPr>
                <w:rFonts w:ascii="Century Gothic" w:hAnsi="Century Gothic" w:cs="Calibri"/>
                <w:color w:val="000000"/>
              </w:rPr>
              <w:t>Line</w:t>
            </w:r>
            <w:r w:rsidR="00E77A51" w:rsidRPr="00A76C93">
              <w:rPr>
                <w:rFonts w:ascii="Century Gothic" w:hAnsi="Century Gothic" w:cs="Calibri"/>
                <w:color w:val="000000"/>
              </w:rPr>
              <w:t>s</w:t>
            </w:r>
            <w:r w:rsidRPr="00A76C93">
              <w:rPr>
                <w:rFonts w:ascii="Century Gothic" w:hAnsi="Century Gothic" w:cs="Calibri"/>
                <w:color w:val="000000"/>
              </w:rPr>
              <w:t xml:space="preserve"> 121-122 to read “This guidance covers adults aged over 18 with earwax”</w:t>
            </w:r>
          </w:p>
          <w:p w14:paraId="2200244C" w14:textId="77777777" w:rsidR="0016203C" w:rsidRPr="00A76C93" w:rsidRDefault="0016203C" w:rsidP="0016203C">
            <w:pPr>
              <w:pStyle w:val="ListParagraph"/>
              <w:ind w:left="360"/>
              <w:rPr>
                <w:rFonts w:ascii="Century Gothic" w:hAnsi="Century Gothic" w:cs="Calibri"/>
                <w:color w:val="000000"/>
              </w:rPr>
            </w:pPr>
          </w:p>
          <w:p w14:paraId="1ED3417A" w14:textId="6D17907A" w:rsidR="003463AB" w:rsidRPr="00A76C93" w:rsidRDefault="0016203C" w:rsidP="003463AB">
            <w:pPr>
              <w:pStyle w:val="ListParagraph"/>
              <w:numPr>
                <w:ilvl w:val="0"/>
                <w:numId w:val="7"/>
              </w:numPr>
              <w:rPr>
                <w:rFonts w:ascii="Century Gothic" w:hAnsi="Century Gothic" w:cs="Calibri"/>
                <w:color w:val="000000"/>
              </w:rPr>
            </w:pPr>
            <w:r w:rsidRPr="00A76C93">
              <w:rPr>
                <w:rFonts w:ascii="Century Gothic" w:hAnsi="Century Gothic" w:cs="Calibri"/>
                <w:color w:val="000000"/>
              </w:rPr>
              <w:t>Line</w:t>
            </w:r>
            <w:r w:rsidR="003463AB" w:rsidRPr="00A76C93">
              <w:rPr>
                <w:rFonts w:ascii="Century Gothic" w:hAnsi="Century Gothic" w:cs="Calibri"/>
                <w:color w:val="000000"/>
              </w:rPr>
              <w:t xml:space="preserve">s 135-136 to read “This document describes aural care for adults </w:t>
            </w:r>
            <w:r w:rsidR="002B173D" w:rsidRPr="00A76C93">
              <w:rPr>
                <w:rFonts w:ascii="Century Gothic" w:hAnsi="Century Gothic" w:cs="Calibri"/>
                <w:color w:val="000000"/>
              </w:rPr>
              <w:t xml:space="preserve">and </w:t>
            </w:r>
            <w:r w:rsidR="003463AB" w:rsidRPr="00A76C93">
              <w:rPr>
                <w:rFonts w:ascii="Century Gothic" w:hAnsi="Century Gothic" w:cs="Calibri"/>
                <w:color w:val="000000"/>
              </w:rPr>
              <w:t xml:space="preserve">contraindications </w:t>
            </w:r>
            <w:r w:rsidR="002B173D" w:rsidRPr="00A76C93">
              <w:rPr>
                <w:rFonts w:ascii="Century Gothic" w:hAnsi="Century Gothic" w:cs="Calibri"/>
                <w:color w:val="000000"/>
              </w:rPr>
              <w:t>to the methods covered</w:t>
            </w:r>
            <w:r w:rsidR="003463AB" w:rsidRPr="00A76C93">
              <w:rPr>
                <w:rFonts w:ascii="Century Gothic" w:hAnsi="Century Gothic" w:cs="Calibri"/>
                <w:color w:val="000000"/>
              </w:rPr>
              <w:t xml:space="preserve">” </w:t>
            </w:r>
          </w:p>
          <w:p w14:paraId="144C3D78" w14:textId="77777777" w:rsidR="00AF7799" w:rsidRPr="00A76C93" w:rsidRDefault="00AF7799" w:rsidP="00AF7799">
            <w:pPr>
              <w:pStyle w:val="ListParagraph"/>
              <w:rPr>
                <w:rFonts w:ascii="Century Gothic" w:hAnsi="Century Gothic" w:cs="Calibri"/>
                <w:color w:val="000000"/>
              </w:rPr>
            </w:pPr>
          </w:p>
          <w:p w14:paraId="6F0F021B" w14:textId="77777777" w:rsidR="003463AB" w:rsidRPr="00A76C93" w:rsidRDefault="003463AB" w:rsidP="003463AB">
            <w:pPr>
              <w:rPr>
                <w:rFonts w:ascii="Century Gothic" w:hAnsi="Century Gothic" w:cs="Calibri"/>
                <w:color w:val="000000"/>
              </w:rPr>
            </w:pPr>
          </w:p>
          <w:p w14:paraId="5D8EEB50" w14:textId="77777777" w:rsidR="00C11683" w:rsidRPr="00A76C93" w:rsidRDefault="00C11683" w:rsidP="00C11683">
            <w:pPr>
              <w:rPr>
                <w:rFonts w:ascii="Century Gothic" w:hAnsi="Century Gothic" w:cs="Calibri"/>
                <w:color w:val="000000"/>
              </w:rPr>
            </w:pPr>
          </w:p>
          <w:p w14:paraId="7D9748FE" w14:textId="4906EAD8" w:rsidR="00C11683" w:rsidRPr="00A76C93" w:rsidRDefault="002B173D" w:rsidP="00D94427">
            <w:pPr>
              <w:rPr>
                <w:rFonts w:ascii="Century Gothic" w:hAnsi="Century Gothic" w:cs="Calibri"/>
                <w:b/>
                <w:bCs/>
                <w:color w:val="000000"/>
              </w:rPr>
            </w:pPr>
            <w:r w:rsidRPr="00A76C93">
              <w:rPr>
                <w:rFonts w:ascii="Century Gothic" w:hAnsi="Century Gothic" w:cs="Calibri"/>
                <w:b/>
                <w:bCs/>
                <w:color w:val="000000"/>
              </w:rPr>
              <w:t>General points</w:t>
            </w:r>
            <w:r w:rsidR="009B66C6" w:rsidRPr="00A76C93">
              <w:rPr>
                <w:rFonts w:ascii="Century Gothic" w:hAnsi="Century Gothic" w:cs="Calibri"/>
                <w:b/>
                <w:bCs/>
                <w:color w:val="000000"/>
              </w:rPr>
              <w:t xml:space="preserve"> </w:t>
            </w:r>
          </w:p>
          <w:p w14:paraId="118EB997" w14:textId="77777777" w:rsidR="009B66C6" w:rsidRPr="00A76C93" w:rsidRDefault="009B66C6" w:rsidP="00D94427">
            <w:pPr>
              <w:rPr>
                <w:rFonts w:ascii="Century Gothic" w:hAnsi="Century Gothic" w:cs="Calibri"/>
                <w:b/>
                <w:bCs/>
                <w:color w:val="000000"/>
              </w:rPr>
            </w:pPr>
          </w:p>
          <w:p w14:paraId="5FE238ED" w14:textId="52451B4D" w:rsidR="009D4452" w:rsidRPr="009D4452" w:rsidRDefault="009D4452" w:rsidP="009D4452">
            <w:pPr>
              <w:pStyle w:val="ListParagraph"/>
              <w:numPr>
                <w:ilvl w:val="0"/>
                <w:numId w:val="23"/>
              </w:numPr>
              <w:rPr>
                <w:rFonts w:ascii="Century Gothic" w:hAnsi="Century Gothic" w:cs="Calibri"/>
                <w:color w:val="000000"/>
              </w:rPr>
            </w:pPr>
            <w:r w:rsidRPr="009D4452">
              <w:rPr>
                <w:rFonts w:ascii="Century Gothic" w:hAnsi="Century Gothic" w:cs="Calibri"/>
                <w:color w:val="000000"/>
              </w:rPr>
              <w:t>A more extensive review of section 2</w:t>
            </w:r>
            <w:r w:rsidR="00437864">
              <w:rPr>
                <w:rFonts w:ascii="Century Gothic" w:hAnsi="Century Gothic" w:cs="Calibri"/>
                <w:color w:val="000000"/>
              </w:rPr>
              <w:t>.1</w:t>
            </w:r>
            <w:r w:rsidRPr="009D4452">
              <w:rPr>
                <w:rFonts w:ascii="Century Gothic" w:hAnsi="Century Gothic" w:cs="Calibri"/>
                <w:color w:val="000000"/>
              </w:rPr>
              <w:t xml:space="preserve"> Scope is warranted. We give feedback on that in our other comments.</w:t>
            </w:r>
          </w:p>
          <w:p w14:paraId="2AEA8ED7" w14:textId="77777777" w:rsidR="009D4452" w:rsidRPr="009D4452" w:rsidRDefault="009D4452" w:rsidP="009D4452">
            <w:pPr>
              <w:pStyle w:val="ListParagraph"/>
              <w:ind w:left="360"/>
              <w:rPr>
                <w:rFonts w:ascii="Century Gothic" w:hAnsi="Century Gothic"/>
              </w:rPr>
            </w:pPr>
          </w:p>
          <w:p w14:paraId="2509152F" w14:textId="1A7A4960" w:rsidR="007E3974" w:rsidRPr="009D4452" w:rsidRDefault="002B173D" w:rsidP="002B173D">
            <w:pPr>
              <w:pStyle w:val="ListParagraph"/>
              <w:numPr>
                <w:ilvl w:val="0"/>
                <w:numId w:val="9"/>
              </w:numPr>
              <w:rPr>
                <w:rFonts w:ascii="Century Gothic" w:hAnsi="Century Gothic"/>
              </w:rPr>
            </w:pPr>
            <w:r w:rsidRPr="00A76C93">
              <w:rPr>
                <w:rFonts w:ascii="Century Gothic" w:hAnsi="Century Gothic" w:cs="Calibri"/>
                <w:color w:val="000000"/>
              </w:rPr>
              <w:t xml:space="preserve">The NICE guideline does recommend a procedure (including alternatives) and states a </w:t>
            </w:r>
            <w:r w:rsidR="009D4452">
              <w:rPr>
                <w:rFonts w:ascii="Century Gothic" w:hAnsi="Century Gothic" w:cs="Calibri"/>
                <w:color w:val="000000"/>
              </w:rPr>
              <w:t xml:space="preserve">preferred </w:t>
            </w:r>
            <w:r w:rsidRPr="00A76C93">
              <w:rPr>
                <w:rFonts w:ascii="Century Gothic" w:hAnsi="Century Gothic" w:cs="Calibri"/>
                <w:color w:val="000000"/>
              </w:rPr>
              <w:t>clinical setting</w:t>
            </w:r>
            <w:r w:rsidR="007E3974" w:rsidRPr="00A76C93">
              <w:rPr>
                <w:rFonts w:ascii="Century Gothic" w:hAnsi="Century Gothic" w:cs="Calibri"/>
                <w:color w:val="000000"/>
              </w:rPr>
              <w:t>, albeit based on clinical consensus of the NICE Committee</w:t>
            </w:r>
            <w:r w:rsidR="009D4452">
              <w:rPr>
                <w:rFonts w:ascii="Century Gothic" w:hAnsi="Century Gothic" w:cs="Calibri"/>
                <w:color w:val="000000"/>
              </w:rPr>
              <w:t xml:space="preserve"> not robust clinical evidence</w:t>
            </w:r>
            <w:r w:rsidRPr="00A76C93">
              <w:rPr>
                <w:rFonts w:ascii="Century Gothic" w:hAnsi="Century Gothic" w:cs="Calibri"/>
                <w:color w:val="000000"/>
              </w:rPr>
              <w:t xml:space="preserve">. </w:t>
            </w:r>
            <w:r w:rsidR="009D4452">
              <w:rPr>
                <w:rFonts w:ascii="Century Gothic" w:hAnsi="Century Gothic" w:cs="Calibri"/>
                <w:color w:val="000000"/>
              </w:rPr>
              <w:t xml:space="preserve"> </w:t>
            </w:r>
            <w:r w:rsidR="007E3974" w:rsidRPr="00A76C93">
              <w:rPr>
                <w:rFonts w:ascii="Century Gothic" w:hAnsi="Century Gothic" w:cs="Calibri"/>
                <w:color w:val="000000"/>
              </w:rPr>
              <w:t xml:space="preserve">This could be better reflected in the BSA guidance. </w:t>
            </w:r>
          </w:p>
          <w:p w14:paraId="12C976E9" w14:textId="77777777" w:rsidR="009D4452" w:rsidRPr="00A76C93" w:rsidRDefault="009D4452" w:rsidP="009D4452">
            <w:pPr>
              <w:pStyle w:val="ListParagraph"/>
              <w:ind w:left="360"/>
              <w:rPr>
                <w:rFonts w:ascii="Century Gothic" w:hAnsi="Century Gothic"/>
              </w:rPr>
            </w:pPr>
          </w:p>
          <w:p w14:paraId="1AAD2AA0" w14:textId="605DA371" w:rsidR="009B66C6" w:rsidRPr="00A76C93" w:rsidRDefault="009B66C6" w:rsidP="007E3974">
            <w:pPr>
              <w:pStyle w:val="ListParagraph"/>
              <w:numPr>
                <w:ilvl w:val="0"/>
                <w:numId w:val="9"/>
              </w:numPr>
              <w:rPr>
                <w:rFonts w:ascii="Century Gothic" w:hAnsi="Century Gothic"/>
              </w:rPr>
            </w:pPr>
            <w:r w:rsidRPr="00A76C93">
              <w:rPr>
                <w:rFonts w:ascii="Century Gothic" w:hAnsi="Century Gothic" w:cs="Calibri"/>
                <w:color w:val="000000"/>
              </w:rPr>
              <w:t xml:space="preserve">Given the BSA guidance aims to be consistent with the NICE guideline (NG98), it </w:t>
            </w:r>
            <w:r w:rsidR="007E3974" w:rsidRPr="00A76C93">
              <w:rPr>
                <w:rFonts w:ascii="Century Gothic" w:hAnsi="Century Gothic" w:cs="Calibri"/>
                <w:color w:val="000000"/>
              </w:rPr>
              <w:t>is unclear</w:t>
            </w:r>
            <w:r w:rsidRPr="00A76C93">
              <w:rPr>
                <w:rFonts w:ascii="Century Gothic" w:hAnsi="Century Gothic" w:cs="Calibri"/>
                <w:color w:val="000000"/>
              </w:rPr>
              <w:t xml:space="preserve"> how the BSA guidance can make</w:t>
            </w:r>
            <w:r w:rsidR="007E3974" w:rsidRPr="00A76C93">
              <w:rPr>
                <w:rFonts w:ascii="Century Gothic" w:hAnsi="Century Gothic" w:cs="Calibri"/>
                <w:color w:val="000000"/>
              </w:rPr>
              <w:t xml:space="preserve"> some of its</w:t>
            </w:r>
            <w:r w:rsidRPr="00A76C93">
              <w:rPr>
                <w:rFonts w:ascii="Century Gothic" w:hAnsi="Century Gothic" w:cs="Calibri"/>
                <w:color w:val="000000"/>
              </w:rPr>
              <w:t xml:space="preserve"> “must” recommendations given the evidence</w:t>
            </w:r>
            <w:r w:rsidR="007E3974" w:rsidRPr="00A76C93">
              <w:rPr>
                <w:rFonts w:ascii="Century Gothic" w:hAnsi="Century Gothic" w:cs="Calibri"/>
                <w:color w:val="000000"/>
              </w:rPr>
              <w:t xml:space="preserve"> is limited. </w:t>
            </w:r>
            <w:proofErr w:type="gramStart"/>
            <w:r w:rsidR="007E3974" w:rsidRPr="00A76C93">
              <w:rPr>
                <w:rFonts w:ascii="Century Gothic" w:hAnsi="Century Gothic" w:cs="Calibri"/>
                <w:color w:val="000000"/>
              </w:rPr>
              <w:t>This is why</w:t>
            </w:r>
            <w:proofErr w:type="gramEnd"/>
            <w:r w:rsidR="007E3974" w:rsidRPr="00A76C93">
              <w:rPr>
                <w:rFonts w:ascii="Century Gothic" w:hAnsi="Century Gothic" w:cs="Calibri"/>
                <w:color w:val="000000"/>
              </w:rPr>
              <w:t xml:space="preserve"> NICE limits the use of must or its equivalent. </w:t>
            </w:r>
          </w:p>
        </w:tc>
      </w:tr>
      <w:tr w:rsidR="007A3862" w:rsidRPr="00A76C93" w14:paraId="49599BBB" w14:textId="77777777" w:rsidTr="009D4452">
        <w:trPr>
          <w:trHeight w:val="285"/>
        </w:trPr>
        <w:tc>
          <w:tcPr>
            <w:tcW w:w="1134" w:type="dxa"/>
            <w:tcBorders>
              <w:top w:val="nil"/>
              <w:left w:val="single" w:sz="4" w:space="0" w:color="auto"/>
              <w:bottom w:val="single" w:sz="4" w:space="0" w:color="auto"/>
              <w:right w:val="single" w:sz="4" w:space="0" w:color="auto"/>
            </w:tcBorders>
            <w:shd w:val="clear" w:color="auto" w:fill="auto"/>
            <w:noWrap/>
          </w:tcPr>
          <w:p w14:paraId="6BC38381" w14:textId="1D0C83DF" w:rsidR="00D94427" w:rsidRPr="00A76C93" w:rsidRDefault="004D5625" w:rsidP="00D94427">
            <w:pPr>
              <w:rPr>
                <w:rFonts w:ascii="Century Gothic" w:hAnsi="Century Gothic" w:cs="Calibri"/>
              </w:rPr>
            </w:pPr>
            <w:r w:rsidRPr="00A76C93">
              <w:rPr>
                <w:rFonts w:ascii="Century Gothic" w:hAnsi="Century Gothic" w:cs="Calibri"/>
              </w:rPr>
              <w:lastRenderedPageBreak/>
              <w:t>2.0</w:t>
            </w:r>
          </w:p>
        </w:tc>
        <w:tc>
          <w:tcPr>
            <w:tcW w:w="856" w:type="dxa"/>
            <w:tcBorders>
              <w:top w:val="nil"/>
              <w:left w:val="nil"/>
              <w:bottom w:val="single" w:sz="4" w:space="0" w:color="auto"/>
              <w:right w:val="single" w:sz="4" w:space="0" w:color="auto"/>
            </w:tcBorders>
            <w:shd w:val="clear" w:color="auto" w:fill="auto"/>
            <w:noWrap/>
          </w:tcPr>
          <w:p w14:paraId="4698CA59" w14:textId="78CA19A3" w:rsidR="00D94427" w:rsidRPr="00A76C93" w:rsidRDefault="004D5625" w:rsidP="00D94427">
            <w:pPr>
              <w:rPr>
                <w:rFonts w:ascii="Century Gothic" w:hAnsi="Century Gothic" w:cs="Calibri"/>
              </w:rPr>
            </w:pPr>
            <w:r w:rsidRPr="00A76C93">
              <w:rPr>
                <w:rFonts w:ascii="Century Gothic" w:hAnsi="Century Gothic" w:cs="Calibri"/>
              </w:rPr>
              <w:t>129-130</w:t>
            </w:r>
          </w:p>
        </w:tc>
        <w:tc>
          <w:tcPr>
            <w:tcW w:w="1419" w:type="dxa"/>
            <w:tcBorders>
              <w:top w:val="nil"/>
              <w:left w:val="nil"/>
              <w:bottom w:val="single" w:sz="4" w:space="0" w:color="auto"/>
              <w:right w:val="single" w:sz="4" w:space="0" w:color="auto"/>
            </w:tcBorders>
            <w:shd w:val="clear" w:color="auto" w:fill="auto"/>
          </w:tcPr>
          <w:p w14:paraId="6E97941E" w14:textId="04E91249" w:rsidR="00D94427" w:rsidRPr="00A76C93" w:rsidRDefault="004D5625" w:rsidP="00D94427">
            <w:pPr>
              <w:rPr>
                <w:rFonts w:ascii="Century Gothic" w:hAnsi="Century Gothic" w:cs="Calibri"/>
              </w:rPr>
            </w:pPr>
            <w:r w:rsidRPr="00A76C93">
              <w:rPr>
                <w:rFonts w:ascii="Century Gothic" w:hAnsi="Century Gothic" w:cs="Calibri"/>
              </w:rPr>
              <w:t xml:space="preserve">Insurance </w:t>
            </w:r>
          </w:p>
        </w:tc>
        <w:tc>
          <w:tcPr>
            <w:tcW w:w="5805" w:type="dxa"/>
            <w:tcBorders>
              <w:top w:val="nil"/>
              <w:left w:val="nil"/>
              <w:bottom w:val="single" w:sz="4" w:space="0" w:color="auto"/>
              <w:right w:val="single" w:sz="4" w:space="0" w:color="auto"/>
            </w:tcBorders>
            <w:shd w:val="clear" w:color="auto" w:fill="auto"/>
          </w:tcPr>
          <w:p w14:paraId="079D3CD7" w14:textId="5DD19D8E" w:rsidR="00D94427" w:rsidRPr="00A76C93" w:rsidRDefault="00E25236" w:rsidP="00D94427">
            <w:pPr>
              <w:rPr>
                <w:rFonts w:ascii="Century Gothic" w:hAnsi="Century Gothic" w:cs="Calibri"/>
              </w:rPr>
            </w:pPr>
            <w:r w:rsidRPr="00A76C93">
              <w:rPr>
                <w:rFonts w:ascii="Century Gothic" w:hAnsi="Century Gothic" w:cs="Calibri"/>
              </w:rPr>
              <w:t xml:space="preserve">This wording could potentially be misleading and result in people purchasing additional insurance or double cover. It </w:t>
            </w:r>
            <w:r w:rsidR="00F338F5" w:rsidRPr="00A76C93">
              <w:rPr>
                <w:rFonts w:ascii="Century Gothic" w:hAnsi="Century Gothic" w:cs="Calibri"/>
              </w:rPr>
              <w:t xml:space="preserve">should therefore be amended in our view. </w:t>
            </w:r>
            <w:r w:rsidRPr="00A76C93">
              <w:rPr>
                <w:rFonts w:ascii="Century Gothic" w:hAnsi="Century Gothic" w:cs="Calibri"/>
              </w:rPr>
              <w:t>We explain why below.</w:t>
            </w:r>
          </w:p>
          <w:p w14:paraId="7DEA1DDD" w14:textId="6B0EA019" w:rsidR="00E25236" w:rsidRPr="00A76C93" w:rsidRDefault="007A260B" w:rsidP="00E25236">
            <w:pPr>
              <w:rPr>
                <w:rFonts w:ascii="Century Gothic" w:hAnsi="Century Gothic"/>
              </w:rPr>
            </w:pPr>
            <w:r w:rsidRPr="00A76C93">
              <w:rPr>
                <w:rFonts w:ascii="Century Gothic" w:hAnsi="Century Gothic" w:cs="Calibri"/>
              </w:rPr>
              <w:br/>
              <w:t xml:space="preserve">All healthcare professionals who practise in the UK are legally required to hold appropriate </w:t>
            </w:r>
            <w:r w:rsidRPr="00A76C93">
              <w:rPr>
                <w:rFonts w:ascii="Century Gothic" w:hAnsi="Century Gothic" w:cs="Arial"/>
                <w:color w:val="0B0C0C"/>
                <w:shd w:val="clear" w:color="auto" w:fill="FFFFFF"/>
              </w:rPr>
              <w:t>clinical negligence cover for the costs of claims and damages awarded to patients arising out of negligence</w:t>
            </w:r>
            <w:r w:rsidR="00E25236" w:rsidRPr="00A76C93">
              <w:rPr>
                <w:rFonts w:ascii="Century Gothic" w:hAnsi="Century Gothic" w:cs="Arial"/>
                <w:color w:val="0B0C0C"/>
                <w:shd w:val="clear" w:color="auto" w:fill="FFFFFF"/>
              </w:rPr>
              <w:t xml:space="preserve"> (see </w:t>
            </w:r>
            <w:hyperlink r:id="rId10" w:history="1">
              <w:r w:rsidR="00E25236" w:rsidRPr="00A76C93">
                <w:rPr>
                  <w:rStyle w:val="Hyperlink"/>
                  <w:rFonts w:ascii="Century Gothic" w:hAnsi="Century Gothic"/>
                </w:rPr>
                <w:t>https://consultations.dh.gov.uk/resolution-patient-experience-and-maternity/indemnity-regulation/</w:t>
              </w:r>
            </w:hyperlink>
            <w:r w:rsidR="00E25236" w:rsidRPr="00A76C93">
              <w:rPr>
                <w:rFonts w:ascii="Century Gothic" w:hAnsi="Century Gothic"/>
              </w:rPr>
              <w:t>)</w:t>
            </w:r>
          </w:p>
          <w:p w14:paraId="218E4527" w14:textId="69FFAC27" w:rsidR="004D5625" w:rsidRPr="00A76C93" w:rsidRDefault="004D5625" w:rsidP="004D5625">
            <w:pPr>
              <w:rPr>
                <w:rFonts w:ascii="Century Gothic" w:hAnsi="Century Gothic" w:cs="Calibri"/>
              </w:rPr>
            </w:pPr>
          </w:p>
          <w:p w14:paraId="107C3CD9" w14:textId="0E6FE9BF" w:rsidR="004D5625" w:rsidRPr="00A76C93" w:rsidRDefault="004D5625" w:rsidP="004D5625">
            <w:pPr>
              <w:rPr>
                <w:rFonts w:ascii="Century Gothic" w:hAnsi="Century Gothic" w:cs="Calibri"/>
              </w:rPr>
            </w:pPr>
            <w:r w:rsidRPr="00A76C93">
              <w:rPr>
                <w:rFonts w:ascii="Century Gothic" w:hAnsi="Century Gothic" w:cs="Calibri"/>
              </w:rPr>
              <w:t xml:space="preserve">It is correct </w:t>
            </w:r>
            <w:r w:rsidR="00F338F5" w:rsidRPr="00A76C93">
              <w:rPr>
                <w:rFonts w:ascii="Century Gothic" w:hAnsi="Century Gothic" w:cs="Calibri"/>
              </w:rPr>
              <w:t xml:space="preserve">that all </w:t>
            </w:r>
            <w:r w:rsidRPr="00A76C93">
              <w:rPr>
                <w:rFonts w:ascii="Century Gothic" w:hAnsi="Century Gothic" w:cs="Calibri"/>
              </w:rPr>
              <w:t xml:space="preserve">healthcare professionals </w:t>
            </w:r>
            <w:r w:rsidR="00F338F5" w:rsidRPr="00A76C93">
              <w:rPr>
                <w:rFonts w:ascii="Century Gothic" w:hAnsi="Century Gothic" w:cs="Calibri"/>
              </w:rPr>
              <w:t>providing</w:t>
            </w:r>
            <w:r w:rsidRPr="00A76C93">
              <w:rPr>
                <w:rFonts w:ascii="Century Gothic" w:hAnsi="Century Gothic" w:cs="Calibri"/>
              </w:rPr>
              <w:t xml:space="preserve"> an aural care service </w:t>
            </w:r>
            <w:r w:rsidR="007A260B" w:rsidRPr="00A76C93">
              <w:rPr>
                <w:rFonts w:ascii="Century Gothic" w:hAnsi="Century Gothic" w:cs="Calibri"/>
              </w:rPr>
              <w:t>should ensure their professional liability insurance cover</w:t>
            </w:r>
            <w:r w:rsidR="00DC3C23">
              <w:rPr>
                <w:rFonts w:ascii="Century Gothic" w:hAnsi="Century Gothic" w:cs="Calibri"/>
              </w:rPr>
              <w:t>s</w:t>
            </w:r>
            <w:r w:rsidR="007A260B" w:rsidRPr="00A76C93">
              <w:rPr>
                <w:rFonts w:ascii="Century Gothic" w:hAnsi="Century Gothic" w:cs="Calibri"/>
              </w:rPr>
              <w:t xml:space="preserve"> aural care.</w:t>
            </w:r>
            <w:r w:rsidR="00F338F5" w:rsidRPr="00A76C93">
              <w:rPr>
                <w:rFonts w:ascii="Century Gothic" w:hAnsi="Century Gothic" w:cs="Calibri"/>
              </w:rPr>
              <w:t xml:space="preserve"> </w:t>
            </w:r>
            <w:r w:rsidR="00E25236" w:rsidRPr="00A76C93">
              <w:rPr>
                <w:rFonts w:ascii="Century Gothic" w:hAnsi="Century Gothic" w:cs="Calibri"/>
              </w:rPr>
              <w:t xml:space="preserve">This is not the same stating they must </w:t>
            </w:r>
            <w:r w:rsidR="007A260B" w:rsidRPr="00A76C93">
              <w:rPr>
                <w:rFonts w:ascii="Century Gothic" w:hAnsi="Century Gothic" w:cs="Calibri"/>
              </w:rPr>
              <w:t>“</w:t>
            </w:r>
            <w:r w:rsidR="00E25236" w:rsidRPr="00A76C93">
              <w:rPr>
                <w:rFonts w:ascii="Century Gothic" w:hAnsi="Century Gothic" w:cs="Calibri"/>
              </w:rPr>
              <w:t xml:space="preserve">hold </w:t>
            </w:r>
            <w:r w:rsidR="007A260B" w:rsidRPr="00A76C93">
              <w:rPr>
                <w:rFonts w:ascii="Century Gothic" w:hAnsi="Century Gothic" w:cs="Calibri"/>
              </w:rPr>
              <w:t>insurance specific</w:t>
            </w:r>
            <w:r w:rsidR="007A260B" w:rsidRPr="00A76C93">
              <w:rPr>
                <w:rFonts w:ascii="Century Gothic" w:hAnsi="Century Gothic" w:cs="Calibri"/>
                <w:b/>
                <w:bCs/>
              </w:rPr>
              <w:t xml:space="preserve"> </w:t>
            </w:r>
            <w:r w:rsidR="007A260B" w:rsidRPr="00A76C93">
              <w:rPr>
                <w:rFonts w:ascii="Century Gothic" w:hAnsi="Century Gothic" w:cs="Calibri"/>
              </w:rPr>
              <w:t>to the procedure being undertaken and the context in which it is being performed” (lines 129-130).</w:t>
            </w:r>
          </w:p>
          <w:p w14:paraId="5D9CEEF5" w14:textId="54E6E549" w:rsidR="00E25236" w:rsidRPr="00A76C93" w:rsidRDefault="00E25236" w:rsidP="004D5625">
            <w:pPr>
              <w:rPr>
                <w:rFonts w:ascii="Century Gothic" w:hAnsi="Century Gothic" w:cs="Calibri"/>
              </w:rPr>
            </w:pPr>
            <w:r w:rsidRPr="00A76C93">
              <w:rPr>
                <w:rFonts w:ascii="Century Gothic" w:hAnsi="Century Gothic" w:cs="Calibri"/>
              </w:rPr>
              <w:lastRenderedPageBreak/>
              <w:br/>
              <w:t xml:space="preserve">For example, we offer HCPC </w:t>
            </w:r>
            <w:r w:rsidR="0036002F" w:rsidRPr="00A76C93">
              <w:rPr>
                <w:rFonts w:ascii="Century Gothic" w:hAnsi="Century Gothic" w:cs="Calibri"/>
              </w:rPr>
              <w:t>registrants’</w:t>
            </w:r>
            <w:r w:rsidRPr="00A76C93">
              <w:rPr>
                <w:rFonts w:ascii="Century Gothic" w:hAnsi="Century Gothic" w:cs="Calibri"/>
              </w:rPr>
              <w:t xml:space="preserve"> professional liability and public liability insurance and this includes cover for aural care provided they work within their scope of practice as defined by the HCPC. </w:t>
            </w:r>
          </w:p>
          <w:p w14:paraId="481A304B" w14:textId="285453DD" w:rsidR="004D5625" w:rsidRPr="00A76C93" w:rsidRDefault="004D5625" w:rsidP="00E25236">
            <w:pPr>
              <w:rPr>
                <w:rFonts w:ascii="Century Gothic" w:hAnsi="Century Gothic" w:cs="Calibri"/>
              </w:rPr>
            </w:pPr>
          </w:p>
        </w:tc>
        <w:tc>
          <w:tcPr>
            <w:tcW w:w="4678" w:type="dxa"/>
            <w:tcBorders>
              <w:top w:val="nil"/>
              <w:left w:val="nil"/>
              <w:bottom w:val="single" w:sz="4" w:space="0" w:color="auto"/>
              <w:right w:val="single" w:sz="4" w:space="0" w:color="auto"/>
            </w:tcBorders>
            <w:shd w:val="clear" w:color="auto" w:fill="auto"/>
            <w:noWrap/>
          </w:tcPr>
          <w:p w14:paraId="13687469" w14:textId="77777777" w:rsidR="00D94427" w:rsidRPr="00A76C93" w:rsidRDefault="007A260B" w:rsidP="00D94427">
            <w:pPr>
              <w:rPr>
                <w:rFonts w:ascii="Century Gothic" w:hAnsi="Century Gothic" w:cs="Calibri"/>
                <w:color w:val="000000"/>
              </w:rPr>
            </w:pPr>
            <w:r w:rsidRPr="00A76C93">
              <w:rPr>
                <w:rFonts w:ascii="Century Gothic" w:hAnsi="Century Gothic" w:cs="Calibri"/>
                <w:color w:val="000000"/>
              </w:rPr>
              <w:lastRenderedPageBreak/>
              <w:t xml:space="preserve">Lines 129-130 to state </w:t>
            </w:r>
          </w:p>
          <w:p w14:paraId="15C1F39B" w14:textId="77777777" w:rsidR="007A260B" w:rsidRPr="00A76C93" w:rsidRDefault="007A260B" w:rsidP="00D94427">
            <w:pPr>
              <w:rPr>
                <w:rFonts w:ascii="Century Gothic" w:hAnsi="Century Gothic" w:cs="Calibri"/>
                <w:color w:val="000000"/>
              </w:rPr>
            </w:pPr>
          </w:p>
          <w:p w14:paraId="2DD94BF7" w14:textId="78F04E13" w:rsidR="0036002F" w:rsidRPr="00A76C93" w:rsidRDefault="00E25236" w:rsidP="00D94427">
            <w:pPr>
              <w:rPr>
                <w:rFonts w:ascii="Century Gothic" w:hAnsi="Century Gothic" w:cs="Calibri"/>
                <w:color w:val="000000"/>
              </w:rPr>
            </w:pPr>
            <w:r w:rsidRPr="00A76C93">
              <w:rPr>
                <w:rFonts w:ascii="Century Gothic" w:hAnsi="Century Gothic" w:cs="Calibri"/>
                <w:color w:val="000000"/>
              </w:rPr>
              <w:t>“H</w:t>
            </w:r>
            <w:r w:rsidR="007A260B" w:rsidRPr="00A76C93">
              <w:rPr>
                <w:rFonts w:ascii="Century Gothic" w:hAnsi="Century Gothic" w:cs="Calibri"/>
                <w:color w:val="000000"/>
              </w:rPr>
              <w:t xml:space="preserve">ealthcare professionals </w:t>
            </w:r>
            <w:r w:rsidRPr="00A76C93">
              <w:rPr>
                <w:rFonts w:ascii="Century Gothic" w:hAnsi="Century Gothic" w:cs="Calibri"/>
                <w:color w:val="000000"/>
              </w:rPr>
              <w:t xml:space="preserve">in the UK are legally required to </w:t>
            </w:r>
            <w:r w:rsidR="007A260B" w:rsidRPr="00A76C93">
              <w:rPr>
                <w:rFonts w:ascii="Century Gothic" w:hAnsi="Century Gothic" w:cs="Calibri"/>
                <w:color w:val="000000"/>
              </w:rPr>
              <w:t>hold appropriate professional liability insurance (also known as medical malpractice insurance)</w:t>
            </w:r>
            <w:r w:rsidRPr="00A76C93">
              <w:rPr>
                <w:rFonts w:ascii="Century Gothic" w:hAnsi="Century Gothic" w:cs="Calibri"/>
                <w:color w:val="000000"/>
              </w:rPr>
              <w:t xml:space="preserve">. It is important to check with </w:t>
            </w:r>
            <w:r w:rsidR="0036002F" w:rsidRPr="00A76C93">
              <w:rPr>
                <w:rFonts w:ascii="Century Gothic" w:hAnsi="Century Gothic" w:cs="Calibri"/>
                <w:color w:val="000000"/>
              </w:rPr>
              <w:t>the</w:t>
            </w:r>
            <w:r w:rsidRPr="00A76C93">
              <w:rPr>
                <w:rFonts w:ascii="Century Gothic" w:hAnsi="Century Gothic" w:cs="Calibri"/>
                <w:color w:val="000000"/>
              </w:rPr>
              <w:t xml:space="preserve"> insurer that </w:t>
            </w:r>
            <w:r w:rsidR="0036002F" w:rsidRPr="00A76C93">
              <w:rPr>
                <w:rFonts w:ascii="Century Gothic" w:hAnsi="Century Gothic" w:cs="Calibri"/>
                <w:color w:val="000000"/>
              </w:rPr>
              <w:t xml:space="preserve">the policy covers </w:t>
            </w:r>
            <w:r w:rsidRPr="00A76C93">
              <w:rPr>
                <w:rFonts w:ascii="Century Gothic" w:hAnsi="Century Gothic" w:cs="Calibri"/>
                <w:color w:val="000000"/>
              </w:rPr>
              <w:t>aural care</w:t>
            </w:r>
            <w:r w:rsidR="0036002F" w:rsidRPr="00A76C93">
              <w:rPr>
                <w:rFonts w:ascii="Century Gothic" w:hAnsi="Century Gothic" w:cs="Calibri"/>
                <w:color w:val="000000"/>
              </w:rPr>
              <w:t>. Some policies will already cover aural care whereas others might require an additional premium.</w:t>
            </w:r>
          </w:p>
          <w:p w14:paraId="41A49A42" w14:textId="77777777" w:rsidR="0036002F" w:rsidRPr="00A76C93" w:rsidRDefault="0036002F" w:rsidP="00D94427">
            <w:pPr>
              <w:rPr>
                <w:rFonts w:ascii="Century Gothic" w:hAnsi="Century Gothic" w:cs="Calibri"/>
                <w:color w:val="000000"/>
              </w:rPr>
            </w:pPr>
          </w:p>
          <w:p w14:paraId="2FBB8E94" w14:textId="514A6236" w:rsidR="007A260B" w:rsidRPr="00A76C93" w:rsidRDefault="0036002F" w:rsidP="00D94427">
            <w:pPr>
              <w:rPr>
                <w:rFonts w:ascii="Century Gothic" w:hAnsi="Century Gothic" w:cs="Calibri"/>
                <w:color w:val="000000"/>
              </w:rPr>
            </w:pPr>
            <w:r w:rsidRPr="00A76C93">
              <w:rPr>
                <w:rFonts w:ascii="Century Gothic" w:hAnsi="Century Gothic" w:cs="Calibri"/>
                <w:color w:val="000000"/>
              </w:rPr>
              <w:t xml:space="preserve">It is also important hearing care professionals work </w:t>
            </w:r>
            <w:r w:rsidR="007A260B" w:rsidRPr="00A76C93">
              <w:rPr>
                <w:rFonts w:ascii="Century Gothic" w:hAnsi="Century Gothic" w:cs="Calibri"/>
                <w:color w:val="000000"/>
              </w:rPr>
              <w:t>within their scope of practice at all times</w:t>
            </w:r>
            <w:r w:rsidRPr="00A76C93">
              <w:rPr>
                <w:rFonts w:ascii="Century Gothic" w:hAnsi="Century Gothic" w:cs="Calibri"/>
                <w:color w:val="000000"/>
              </w:rPr>
              <w:t xml:space="preserve"> as defined by their regulator – e.g. HCPC” </w:t>
            </w:r>
          </w:p>
        </w:tc>
      </w:tr>
      <w:tr w:rsidR="004D5625" w:rsidRPr="00A76C93" w14:paraId="0C19DD37" w14:textId="77777777" w:rsidTr="009D4452">
        <w:trPr>
          <w:trHeight w:val="285"/>
        </w:trPr>
        <w:tc>
          <w:tcPr>
            <w:tcW w:w="1134" w:type="dxa"/>
            <w:tcBorders>
              <w:top w:val="nil"/>
              <w:left w:val="single" w:sz="4" w:space="0" w:color="auto"/>
              <w:bottom w:val="single" w:sz="4" w:space="0" w:color="auto"/>
              <w:right w:val="single" w:sz="4" w:space="0" w:color="auto"/>
            </w:tcBorders>
            <w:shd w:val="clear" w:color="auto" w:fill="auto"/>
            <w:noWrap/>
          </w:tcPr>
          <w:p w14:paraId="7AA1B008" w14:textId="28DCBB9F" w:rsidR="004D5625" w:rsidRPr="00A76C93" w:rsidRDefault="00793648" w:rsidP="00D94427">
            <w:pPr>
              <w:rPr>
                <w:rFonts w:ascii="Century Gothic" w:hAnsi="Century Gothic" w:cs="Calibri"/>
              </w:rPr>
            </w:pPr>
            <w:r w:rsidRPr="00A76C93">
              <w:rPr>
                <w:rFonts w:ascii="Century Gothic" w:hAnsi="Century Gothic" w:cs="Calibri"/>
              </w:rPr>
              <w:t>2</w:t>
            </w:r>
          </w:p>
        </w:tc>
        <w:tc>
          <w:tcPr>
            <w:tcW w:w="856" w:type="dxa"/>
            <w:tcBorders>
              <w:top w:val="nil"/>
              <w:left w:val="nil"/>
              <w:bottom w:val="single" w:sz="4" w:space="0" w:color="auto"/>
              <w:right w:val="single" w:sz="4" w:space="0" w:color="auto"/>
            </w:tcBorders>
            <w:shd w:val="clear" w:color="auto" w:fill="auto"/>
            <w:noWrap/>
          </w:tcPr>
          <w:p w14:paraId="27EB27D5" w14:textId="1F3AA62B" w:rsidR="004D5625" w:rsidRPr="00A76C93" w:rsidRDefault="00793648" w:rsidP="00D94427">
            <w:pPr>
              <w:rPr>
                <w:rFonts w:ascii="Century Gothic" w:hAnsi="Century Gothic" w:cs="Calibri"/>
              </w:rPr>
            </w:pPr>
            <w:r w:rsidRPr="00A76C93">
              <w:rPr>
                <w:rFonts w:ascii="Century Gothic" w:hAnsi="Century Gothic" w:cs="Calibri"/>
              </w:rPr>
              <w:t>125-127</w:t>
            </w:r>
          </w:p>
        </w:tc>
        <w:tc>
          <w:tcPr>
            <w:tcW w:w="1419" w:type="dxa"/>
            <w:tcBorders>
              <w:top w:val="nil"/>
              <w:left w:val="nil"/>
              <w:bottom w:val="single" w:sz="4" w:space="0" w:color="auto"/>
              <w:right w:val="single" w:sz="4" w:space="0" w:color="auto"/>
            </w:tcBorders>
            <w:shd w:val="clear" w:color="auto" w:fill="auto"/>
          </w:tcPr>
          <w:p w14:paraId="0363D2DA" w14:textId="31F2FC35" w:rsidR="004D5625" w:rsidRPr="00A76C93" w:rsidRDefault="00793648" w:rsidP="00D94427">
            <w:pPr>
              <w:rPr>
                <w:rFonts w:ascii="Century Gothic" w:hAnsi="Century Gothic" w:cs="Calibri"/>
              </w:rPr>
            </w:pPr>
            <w:r w:rsidRPr="00A76C93">
              <w:rPr>
                <w:rFonts w:ascii="Century Gothic" w:hAnsi="Century Gothic" w:cs="Calibri"/>
              </w:rPr>
              <w:t>Scope</w:t>
            </w:r>
          </w:p>
        </w:tc>
        <w:tc>
          <w:tcPr>
            <w:tcW w:w="5805" w:type="dxa"/>
            <w:tcBorders>
              <w:top w:val="nil"/>
              <w:left w:val="nil"/>
              <w:bottom w:val="single" w:sz="4" w:space="0" w:color="auto"/>
              <w:right w:val="single" w:sz="4" w:space="0" w:color="auto"/>
            </w:tcBorders>
            <w:shd w:val="clear" w:color="auto" w:fill="auto"/>
          </w:tcPr>
          <w:p w14:paraId="2346FB4A" w14:textId="40A82DD5" w:rsidR="00FC7631" w:rsidRPr="00A76C93" w:rsidRDefault="00793648" w:rsidP="00793648">
            <w:pPr>
              <w:rPr>
                <w:rFonts w:ascii="Century Gothic" w:hAnsi="Century Gothic" w:cs="Calibri"/>
              </w:rPr>
            </w:pPr>
            <w:r w:rsidRPr="00A76C93">
              <w:rPr>
                <w:rFonts w:ascii="Century Gothic" w:hAnsi="Century Gothic" w:cs="Calibri"/>
              </w:rPr>
              <w:t>NICE state</w:t>
            </w:r>
            <w:r w:rsidR="00CB1920">
              <w:rPr>
                <w:rFonts w:ascii="Century Gothic" w:hAnsi="Century Gothic" w:cs="Calibri"/>
              </w:rPr>
              <w:t>s</w:t>
            </w:r>
            <w:r w:rsidRPr="00A76C93">
              <w:rPr>
                <w:rFonts w:ascii="Century Gothic" w:hAnsi="Century Gothic" w:cs="Calibri"/>
              </w:rPr>
              <w:t xml:space="preserve"> </w:t>
            </w:r>
          </w:p>
          <w:p w14:paraId="03236BD5" w14:textId="77777777" w:rsidR="00FC7631" w:rsidRPr="00A76C93" w:rsidRDefault="00793648" w:rsidP="00FC7631">
            <w:pPr>
              <w:pStyle w:val="ListParagraph"/>
              <w:numPr>
                <w:ilvl w:val="0"/>
                <w:numId w:val="14"/>
              </w:numPr>
              <w:rPr>
                <w:rFonts w:ascii="Century Gothic" w:hAnsi="Century Gothic"/>
              </w:rPr>
            </w:pPr>
            <w:r w:rsidRPr="00A76C93">
              <w:rPr>
                <w:rFonts w:ascii="Century Gothic" w:hAnsi="Century Gothic" w:cs="Calibri"/>
              </w:rPr>
              <w:t>“</w:t>
            </w:r>
            <w:r w:rsidRPr="00A76C93">
              <w:rPr>
                <w:rFonts w:ascii="Century Gothic" w:hAnsi="Century Gothic"/>
              </w:rPr>
              <w:t>Do not offer adults manual syringing to remove earwax”.</w:t>
            </w:r>
          </w:p>
          <w:p w14:paraId="1B596DBB" w14:textId="77777777" w:rsidR="00FC7631" w:rsidRPr="00A76C93" w:rsidRDefault="00FC7631" w:rsidP="00FC7631">
            <w:pPr>
              <w:rPr>
                <w:rFonts w:ascii="Century Gothic" w:hAnsi="Century Gothic"/>
              </w:rPr>
            </w:pPr>
          </w:p>
          <w:p w14:paraId="76737D16" w14:textId="11A06F19" w:rsidR="00793648" w:rsidRPr="00A76C93" w:rsidRDefault="00FC7631" w:rsidP="00793648">
            <w:pPr>
              <w:rPr>
                <w:rFonts w:ascii="Century Gothic" w:hAnsi="Century Gothic"/>
              </w:rPr>
            </w:pPr>
            <w:r w:rsidRPr="00A76C93">
              <w:rPr>
                <w:rFonts w:ascii="Century Gothic" w:hAnsi="Century Gothic"/>
              </w:rPr>
              <w:t xml:space="preserve">In doing so </w:t>
            </w:r>
            <w:r w:rsidR="00793648" w:rsidRPr="00A76C93">
              <w:rPr>
                <w:rFonts w:ascii="Century Gothic" w:hAnsi="Century Gothic"/>
              </w:rPr>
              <w:t>NICE make</w:t>
            </w:r>
            <w:r w:rsidRPr="00A76C93">
              <w:rPr>
                <w:rFonts w:ascii="Century Gothic" w:hAnsi="Century Gothic"/>
              </w:rPr>
              <w:t>s</w:t>
            </w:r>
            <w:r w:rsidR="00793648" w:rsidRPr="00A76C93">
              <w:rPr>
                <w:rFonts w:ascii="Century Gothic" w:hAnsi="Century Gothic"/>
              </w:rPr>
              <w:t xml:space="preserve"> clear to readers</w:t>
            </w:r>
            <w:r w:rsidRPr="00A76C93">
              <w:rPr>
                <w:rFonts w:ascii="Century Gothic" w:hAnsi="Century Gothic"/>
              </w:rPr>
              <w:t xml:space="preserve"> not to use this procedure and that it has considered</w:t>
            </w:r>
            <w:r w:rsidR="00793648" w:rsidRPr="00A76C93">
              <w:rPr>
                <w:rFonts w:ascii="Century Gothic" w:hAnsi="Century Gothic"/>
              </w:rPr>
              <w:t xml:space="preserve"> the evidence and risk</w:t>
            </w:r>
            <w:r w:rsidRPr="00A76C93">
              <w:rPr>
                <w:rFonts w:ascii="Century Gothic" w:hAnsi="Century Gothic"/>
              </w:rPr>
              <w:t>.</w:t>
            </w:r>
            <w:r w:rsidR="00CB1920">
              <w:rPr>
                <w:rFonts w:ascii="Century Gothic" w:hAnsi="Century Gothic"/>
              </w:rPr>
              <w:t xml:space="preserve"> </w:t>
            </w:r>
            <w:r w:rsidR="00793648" w:rsidRPr="00A76C93">
              <w:rPr>
                <w:rFonts w:ascii="Century Gothic" w:hAnsi="Century Gothic"/>
              </w:rPr>
              <w:t>If NICE had not included th</w:t>
            </w:r>
            <w:r w:rsidR="00CB1920">
              <w:rPr>
                <w:rFonts w:ascii="Century Gothic" w:hAnsi="Century Gothic"/>
              </w:rPr>
              <w:t>is explicit</w:t>
            </w:r>
            <w:r w:rsidR="00793648" w:rsidRPr="00A76C93">
              <w:rPr>
                <w:rFonts w:ascii="Century Gothic" w:hAnsi="Century Gothic"/>
              </w:rPr>
              <w:t xml:space="preserve"> ‘do not’ statement </w:t>
            </w:r>
            <w:r w:rsidR="00CB1920">
              <w:rPr>
                <w:rFonts w:ascii="Century Gothic" w:hAnsi="Century Gothic"/>
              </w:rPr>
              <w:t xml:space="preserve">in the main body of text, some </w:t>
            </w:r>
            <w:r w:rsidR="00793648" w:rsidRPr="00A76C93">
              <w:rPr>
                <w:rFonts w:ascii="Century Gothic" w:hAnsi="Century Gothic"/>
              </w:rPr>
              <w:t>readers might be more likely to use it.</w:t>
            </w:r>
          </w:p>
          <w:p w14:paraId="6C69DAF9" w14:textId="6F3CDD41" w:rsidR="00793648" w:rsidRPr="00A76C93" w:rsidRDefault="00FC7631" w:rsidP="00793648">
            <w:pPr>
              <w:rPr>
                <w:rFonts w:ascii="Century Gothic" w:hAnsi="Century Gothic"/>
              </w:rPr>
            </w:pPr>
            <w:r w:rsidRPr="00A76C93">
              <w:rPr>
                <w:rFonts w:ascii="Century Gothic" w:hAnsi="Century Gothic"/>
              </w:rPr>
              <w:t xml:space="preserve"> </w:t>
            </w:r>
          </w:p>
          <w:p w14:paraId="210D6370" w14:textId="616A79AC" w:rsidR="00793648" w:rsidRDefault="00FC7631" w:rsidP="00793648">
            <w:pPr>
              <w:rPr>
                <w:rFonts w:ascii="Century Gothic" w:hAnsi="Century Gothic"/>
              </w:rPr>
            </w:pPr>
            <w:r w:rsidRPr="00A76C93">
              <w:rPr>
                <w:rFonts w:ascii="Century Gothic" w:hAnsi="Century Gothic"/>
              </w:rPr>
              <w:t xml:space="preserve">It would be helpful if the BSA could consider doing the same. </w:t>
            </w:r>
            <w:r w:rsidR="00793648" w:rsidRPr="00A76C93">
              <w:rPr>
                <w:rFonts w:ascii="Century Gothic" w:hAnsi="Century Gothic"/>
              </w:rPr>
              <w:t xml:space="preserve">This </w:t>
            </w:r>
            <w:r w:rsidRPr="00A76C93">
              <w:rPr>
                <w:rFonts w:ascii="Century Gothic" w:hAnsi="Century Gothic"/>
              </w:rPr>
              <w:t>might</w:t>
            </w:r>
            <w:r w:rsidR="00793648" w:rsidRPr="00A76C93">
              <w:rPr>
                <w:rFonts w:ascii="Century Gothic" w:hAnsi="Century Gothic"/>
              </w:rPr>
              <w:t xml:space="preserve"> reduce the risk </w:t>
            </w:r>
            <w:r w:rsidRPr="00A76C93">
              <w:rPr>
                <w:rFonts w:ascii="Century Gothic" w:hAnsi="Century Gothic"/>
              </w:rPr>
              <w:t>somebody using manual syringing. For example, when lines 90-92 are read and manual syringing only appears on lines 125-217 (where it could be missed), somebody might assume they can use other procedures not listed in the main body of the guidance</w:t>
            </w:r>
            <w:r w:rsidR="00CF5EF0">
              <w:rPr>
                <w:rFonts w:ascii="Century Gothic" w:hAnsi="Century Gothic"/>
              </w:rPr>
              <w:t xml:space="preserve"> because there is limited evidence to suggest otherwise</w:t>
            </w:r>
            <w:r w:rsidRPr="00A76C93">
              <w:rPr>
                <w:rFonts w:ascii="Century Gothic" w:hAnsi="Century Gothic"/>
              </w:rPr>
              <w:t xml:space="preserve">. An explicit statement instead would reduce risk associated with this ambiguity. </w:t>
            </w:r>
          </w:p>
          <w:p w14:paraId="4CCAA4E8" w14:textId="77777777" w:rsidR="00437864" w:rsidRPr="00A76C93" w:rsidRDefault="00437864" w:rsidP="00793648">
            <w:pPr>
              <w:rPr>
                <w:rFonts w:ascii="Century Gothic" w:hAnsi="Century Gothic"/>
              </w:rPr>
            </w:pPr>
          </w:p>
          <w:p w14:paraId="279C98B7" w14:textId="17196F2C" w:rsidR="002B173D" w:rsidRPr="00A76C93" w:rsidRDefault="002B173D" w:rsidP="00793648">
            <w:pPr>
              <w:rPr>
                <w:rFonts w:ascii="Century Gothic" w:hAnsi="Century Gothic" w:cs="Calibri"/>
              </w:rPr>
            </w:pPr>
          </w:p>
        </w:tc>
        <w:tc>
          <w:tcPr>
            <w:tcW w:w="4678" w:type="dxa"/>
            <w:tcBorders>
              <w:top w:val="nil"/>
              <w:left w:val="nil"/>
              <w:bottom w:val="single" w:sz="4" w:space="0" w:color="auto"/>
              <w:right w:val="single" w:sz="4" w:space="0" w:color="auto"/>
            </w:tcBorders>
            <w:shd w:val="clear" w:color="auto" w:fill="auto"/>
            <w:noWrap/>
          </w:tcPr>
          <w:p w14:paraId="5FCDAB30" w14:textId="29DB3D3A" w:rsidR="004D5625" w:rsidRPr="00A76C93" w:rsidRDefault="00793648" w:rsidP="00D94427">
            <w:pPr>
              <w:rPr>
                <w:rFonts w:ascii="Century Gothic" w:hAnsi="Century Gothic"/>
              </w:rPr>
            </w:pPr>
            <w:r w:rsidRPr="00A76C93">
              <w:rPr>
                <w:rFonts w:ascii="Century Gothic" w:hAnsi="Century Gothic" w:cs="Calibri"/>
                <w:color w:val="000000"/>
              </w:rPr>
              <w:lastRenderedPageBreak/>
              <w:t xml:space="preserve">Include </w:t>
            </w:r>
            <w:r w:rsidR="00117DE9">
              <w:rPr>
                <w:rFonts w:ascii="Century Gothic" w:hAnsi="Century Gothic" w:cs="Calibri"/>
                <w:color w:val="000000"/>
              </w:rPr>
              <w:t xml:space="preserve">a section on </w:t>
            </w:r>
            <w:r w:rsidRPr="00A76C93">
              <w:rPr>
                <w:rFonts w:ascii="Century Gothic" w:hAnsi="Century Gothic"/>
              </w:rPr>
              <w:t xml:space="preserve">manual syringing </w:t>
            </w:r>
            <w:r w:rsidR="00FC7631" w:rsidRPr="00A76C93">
              <w:rPr>
                <w:rFonts w:ascii="Century Gothic" w:hAnsi="Century Gothic"/>
              </w:rPr>
              <w:t>section. Then in that section state:</w:t>
            </w:r>
          </w:p>
          <w:p w14:paraId="131CF08A" w14:textId="77777777" w:rsidR="00793648" w:rsidRPr="00A76C93" w:rsidRDefault="00793648" w:rsidP="00D94427">
            <w:pPr>
              <w:rPr>
                <w:rFonts w:ascii="Century Gothic" w:hAnsi="Century Gothic"/>
              </w:rPr>
            </w:pPr>
          </w:p>
          <w:p w14:paraId="2E534BC6" w14:textId="77777777" w:rsidR="00793648" w:rsidRPr="00A76C93" w:rsidRDefault="006B4DAF" w:rsidP="00793648">
            <w:pPr>
              <w:pStyle w:val="ListParagraph"/>
              <w:numPr>
                <w:ilvl w:val="0"/>
                <w:numId w:val="8"/>
              </w:numPr>
              <w:rPr>
                <w:rFonts w:ascii="Century Gothic" w:hAnsi="Century Gothic" w:cs="Calibri"/>
                <w:color w:val="000000"/>
              </w:rPr>
            </w:pPr>
            <w:hyperlink r:id="rId11" w:history="1">
              <w:r w:rsidR="00793648" w:rsidRPr="00A76C93">
                <w:rPr>
                  <w:rStyle w:val="Hyperlink"/>
                  <w:rFonts w:ascii="Century Gothic" w:hAnsi="Century Gothic"/>
                </w:rPr>
                <w:t>Do not offer adults manual syringing to remove earwax</w:t>
              </w:r>
            </w:hyperlink>
            <w:r w:rsidR="00793648" w:rsidRPr="00A76C93">
              <w:rPr>
                <w:rFonts w:ascii="Century Gothic" w:hAnsi="Century Gothic"/>
              </w:rPr>
              <w:t xml:space="preserve"> (NICE 2018, NG98)</w:t>
            </w:r>
          </w:p>
          <w:p w14:paraId="6027F337" w14:textId="77777777" w:rsidR="00793648" w:rsidRPr="00A76C93" w:rsidRDefault="00793648" w:rsidP="00793648">
            <w:pPr>
              <w:rPr>
                <w:rFonts w:ascii="Century Gothic" w:hAnsi="Century Gothic" w:cs="Calibri"/>
                <w:color w:val="000000"/>
              </w:rPr>
            </w:pPr>
          </w:p>
          <w:p w14:paraId="109E63B0" w14:textId="77777777" w:rsidR="00793648" w:rsidRPr="00A76C93" w:rsidRDefault="00793648" w:rsidP="00793648">
            <w:pPr>
              <w:rPr>
                <w:rFonts w:ascii="Century Gothic" w:hAnsi="Century Gothic" w:cs="Calibri"/>
                <w:color w:val="000000"/>
              </w:rPr>
            </w:pPr>
            <w:r w:rsidRPr="00A76C93">
              <w:rPr>
                <w:rFonts w:ascii="Century Gothic" w:hAnsi="Century Gothic" w:cs="Calibri"/>
                <w:color w:val="000000"/>
              </w:rPr>
              <w:t xml:space="preserve">Then list why it should not be used. </w:t>
            </w:r>
          </w:p>
          <w:p w14:paraId="1D59D8C5" w14:textId="77777777" w:rsidR="002B173D" w:rsidRPr="00A76C93" w:rsidRDefault="002B173D" w:rsidP="00793648">
            <w:pPr>
              <w:rPr>
                <w:rFonts w:ascii="Century Gothic" w:hAnsi="Century Gothic" w:cs="Calibri"/>
                <w:color w:val="000000"/>
              </w:rPr>
            </w:pPr>
          </w:p>
          <w:p w14:paraId="46A6FB9D" w14:textId="77777777" w:rsidR="002B173D" w:rsidRPr="00A76C93" w:rsidRDefault="002B173D" w:rsidP="00793648">
            <w:pPr>
              <w:rPr>
                <w:rFonts w:ascii="Century Gothic" w:hAnsi="Century Gothic" w:cs="Calibri"/>
                <w:color w:val="000000"/>
              </w:rPr>
            </w:pPr>
          </w:p>
          <w:p w14:paraId="65C13702" w14:textId="77777777" w:rsidR="002B173D" w:rsidRPr="00A76C93" w:rsidRDefault="002B173D" w:rsidP="00793648">
            <w:pPr>
              <w:rPr>
                <w:rFonts w:ascii="Century Gothic" w:hAnsi="Century Gothic" w:cs="Calibri"/>
                <w:color w:val="000000"/>
              </w:rPr>
            </w:pPr>
          </w:p>
          <w:p w14:paraId="770D3BA3" w14:textId="77777777" w:rsidR="002B173D" w:rsidRPr="00A76C93" w:rsidRDefault="002B173D" w:rsidP="00793648">
            <w:pPr>
              <w:rPr>
                <w:rFonts w:ascii="Century Gothic" w:hAnsi="Century Gothic" w:cs="Calibri"/>
                <w:color w:val="000000"/>
              </w:rPr>
            </w:pPr>
          </w:p>
          <w:p w14:paraId="468B6100" w14:textId="77777777" w:rsidR="002B173D" w:rsidRPr="00A76C93" w:rsidRDefault="002B173D" w:rsidP="00793648">
            <w:pPr>
              <w:rPr>
                <w:rFonts w:ascii="Century Gothic" w:hAnsi="Century Gothic" w:cs="Calibri"/>
                <w:color w:val="000000"/>
              </w:rPr>
            </w:pPr>
          </w:p>
          <w:p w14:paraId="0095A238" w14:textId="77777777" w:rsidR="002B173D" w:rsidRPr="00A76C93" w:rsidRDefault="002B173D" w:rsidP="00793648">
            <w:pPr>
              <w:rPr>
                <w:rFonts w:ascii="Century Gothic" w:hAnsi="Century Gothic" w:cs="Calibri"/>
                <w:color w:val="000000"/>
              </w:rPr>
            </w:pPr>
          </w:p>
          <w:p w14:paraId="6177FE63" w14:textId="77777777" w:rsidR="002B173D" w:rsidRPr="00A76C93" w:rsidRDefault="002B173D" w:rsidP="00793648">
            <w:pPr>
              <w:rPr>
                <w:rFonts w:ascii="Century Gothic" w:hAnsi="Century Gothic" w:cs="Calibri"/>
                <w:color w:val="000000"/>
              </w:rPr>
            </w:pPr>
          </w:p>
          <w:p w14:paraId="34FCC76A" w14:textId="77777777" w:rsidR="002B173D" w:rsidRPr="00A76C93" w:rsidRDefault="002B173D" w:rsidP="00793648">
            <w:pPr>
              <w:rPr>
                <w:rFonts w:ascii="Century Gothic" w:hAnsi="Century Gothic" w:cs="Calibri"/>
                <w:color w:val="000000"/>
              </w:rPr>
            </w:pPr>
          </w:p>
          <w:p w14:paraId="69A500B6" w14:textId="77777777" w:rsidR="002B173D" w:rsidRPr="00A76C93" w:rsidRDefault="002B173D" w:rsidP="00793648">
            <w:pPr>
              <w:rPr>
                <w:rFonts w:ascii="Century Gothic" w:hAnsi="Century Gothic" w:cs="Calibri"/>
                <w:color w:val="000000"/>
              </w:rPr>
            </w:pPr>
          </w:p>
          <w:p w14:paraId="3313B2D9" w14:textId="77777777" w:rsidR="002B173D" w:rsidRPr="00A76C93" w:rsidRDefault="002B173D" w:rsidP="00793648">
            <w:pPr>
              <w:rPr>
                <w:rFonts w:ascii="Century Gothic" w:hAnsi="Century Gothic" w:cs="Calibri"/>
                <w:color w:val="000000"/>
              </w:rPr>
            </w:pPr>
          </w:p>
          <w:p w14:paraId="32EA9E8E" w14:textId="77777777" w:rsidR="002B173D" w:rsidRPr="00A76C93" w:rsidRDefault="002B173D" w:rsidP="00793648">
            <w:pPr>
              <w:rPr>
                <w:rFonts w:ascii="Century Gothic" w:hAnsi="Century Gothic" w:cs="Calibri"/>
                <w:color w:val="000000"/>
              </w:rPr>
            </w:pPr>
          </w:p>
          <w:p w14:paraId="169C1C6F" w14:textId="77777777" w:rsidR="002B173D" w:rsidRPr="00A76C93" w:rsidRDefault="002B173D" w:rsidP="00793648">
            <w:pPr>
              <w:rPr>
                <w:rFonts w:ascii="Century Gothic" w:hAnsi="Century Gothic" w:cs="Calibri"/>
                <w:color w:val="000000"/>
              </w:rPr>
            </w:pPr>
          </w:p>
          <w:p w14:paraId="3D9B5BB4" w14:textId="012E778C" w:rsidR="002B173D" w:rsidRPr="00A76C93" w:rsidRDefault="002B173D" w:rsidP="00793648">
            <w:pPr>
              <w:rPr>
                <w:rFonts w:ascii="Century Gothic" w:hAnsi="Century Gothic" w:cs="Calibri"/>
                <w:color w:val="000000"/>
              </w:rPr>
            </w:pPr>
          </w:p>
        </w:tc>
      </w:tr>
      <w:tr w:rsidR="004D5625" w:rsidRPr="00A76C93" w14:paraId="0DE82EA0" w14:textId="77777777" w:rsidTr="009D4452">
        <w:trPr>
          <w:trHeight w:val="285"/>
        </w:trPr>
        <w:tc>
          <w:tcPr>
            <w:tcW w:w="1134" w:type="dxa"/>
            <w:tcBorders>
              <w:top w:val="nil"/>
              <w:left w:val="single" w:sz="4" w:space="0" w:color="auto"/>
              <w:bottom w:val="single" w:sz="4" w:space="0" w:color="auto"/>
              <w:right w:val="single" w:sz="4" w:space="0" w:color="auto"/>
            </w:tcBorders>
            <w:shd w:val="clear" w:color="auto" w:fill="auto"/>
            <w:noWrap/>
          </w:tcPr>
          <w:p w14:paraId="3862C5A9" w14:textId="29495C6A" w:rsidR="004D5625" w:rsidRPr="00A76C93" w:rsidRDefault="003463AB" w:rsidP="00D94427">
            <w:pPr>
              <w:rPr>
                <w:rFonts w:ascii="Century Gothic" w:hAnsi="Century Gothic" w:cs="Calibri"/>
              </w:rPr>
            </w:pPr>
            <w:r w:rsidRPr="00A76C93">
              <w:rPr>
                <w:rFonts w:ascii="Century Gothic" w:hAnsi="Century Gothic" w:cs="Calibri"/>
              </w:rPr>
              <w:t>2.1</w:t>
            </w:r>
          </w:p>
        </w:tc>
        <w:tc>
          <w:tcPr>
            <w:tcW w:w="856" w:type="dxa"/>
            <w:tcBorders>
              <w:top w:val="nil"/>
              <w:left w:val="nil"/>
              <w:bottom w:val="single" w:sz="4" w:space="0" w:color="auto"/>
              <w:right w:val="single" w:sz="4" w:space="0" w:color="auto"/>
            </w:tcBorders>
            <w:shd w:val="clear" w:color="auto" w:fill="auto"/>
            <w:noWrap/>
          </w:tcPr>
          <w:p w14:paraId="4045AF66" w14:textId="4E0DD79A" w:rsidR="004D5625" w:rsidRPr="00A76C93" w:rsidRDefault="003463AB" w:rsidP="00D94427">
            <w:pPr>
              <w:rPr>
                <w:rFonts w:ascii="Century Gothic" w:hAnsi="Century Gothic" w:cs="Calibri"/>
              </w:rPr>
            </w:pPr>
            <w:r w:rsidRPr="00A76C93">
              <w:rPr>
                <w:rFonts w:ascii="Century Gothic" w:hAnsi="Century Gothic" w:cs="Calibri"/>
              </w:rPr>
              <w:t>135-</w:t>
            </w:r>
            <w:r w:rsidR="006F1ADA" w:rsidRPr="00A76C93">
              <w:rPr>
                <w:rFonts w:ascii="Century Gothic" w:hAnsi="Century Gothic" w:cs="Calibri"/>
              </w:rPr>
              <w:t>161</w:t>
            </w:r>
          </w:p>
        </w:tc>
        <w:tc>
          <w:tcPr>
            <w:tcW w:w="1419" w:type="dxa"/>
            <w:tcBorders>
              <w:top w:val="nil"/>
              <w:left w:val="nil"/>
              <w:bottom w:val="single" w:sz="4" w:space="0" w:color="auto"/>
              <w:right w:val="single" w:sz="4" w:space="0" w:color="auto"/>
            </w:tcBorders>
            <w:shd w:val="clear" w:color="auto" w:fill="auto"/>
          </w:tcPr>
          <w:p w14:paraId="4C66AF13" w14:textId="4A8780CB" w:rsidR="004D5625" w:rsidRPr="00A76C93" w:rsidRDefault="003463AB" w:rsidP="00D94427">
            <w:pPr>
              <w:rPr>
                <w:rFonts w:ascii="Century Gothic" w:hAnsi="Century Gothic" w:cs="Calibri"/>
              </w:rPr>
            </w:pPr>
            <w:r w:rsidRPr="00A76C93">
              <w:rPr>
                <w:rFonts w:ascii="Century Gothic" w:hAnsi="Century Gothic" w:cs="Calibri"/>
              </w:rPr>
              <w:t>Procedural scope</w:t>
            </w:r>
          </w:p>
        </w:tc>
        <w:tc>
          <w:tcPr>
            <w:tcW w:w="5805" w:type="dxa"/>
            <w:tcBorders>
              <w:top w:val="nil"/>
              <w:left w:val="nil"/>
              <w:bottom w:val="single" w:sz="4" w:space="0" w:color="auto"/>
              <w:right w:val="single" w:sz="4" w:space="0" w:color="auto"/>
            </w:tcBorders>
            <w:shd w:val="clear" w:color="auto" w:fill="auto"/>
          </w:tcPr>
          <w:p w14:paraId="157FABD6" w14:textId="561C432B" w:rsidR="006F1ADA" w:rsidRPr="00A76C93" w:rsidRDefault="006F1ADA" w:rsidP="00D94427">
            <w:pPr>
              <w:rPr>
                <w:rFonts w:ascii="Century Gothic" w:hAnsi="Century Gothic" w:cs="Calibri"/>
              </w:rPr>
            </w:pPr>
            <w:r w:rsidRPr="00A76C93">
              <w:rPr>
                <w:rFonts w:ascii="Century Gothic" w:hAnsi="Century Gothic" w:cs="Calibri"/>
              </w:rPr>
              <w:t xml:space="preserve">This </w:t>
            </w:r>
            <w:r w:rsidR="007B6CFC" w:rsidRPr="00A76C93">
              <w:rPr>
                <w:rFonts w:ascii="Century Gothic" w:hAnsi="Century Gothic" w:cs="Calibri"/>
              </w:rPr>
              <w:t xml:space="preserve">does not appear to be </w:t>
            </w:r>
            <w:r w:rsidRPr="00A76C93">
              <w:rPr>
                <w:rFonts w:ascii="Century Gothic" w:hAnsi="Century Gothic" w:cs="Calibri"/>
              </w:rPr>
              <w:t>consistent with the NICE guideline (NG98).</w:t>
            </w:r>
          </w:p>
          <w:p w14:paraId="55D6D83E" w14:textId="77777777" w:rsidR="006F1ADA" w:rsidRPr="00A76C93" w:rsidRDefault="006F1ADA" w:rsidP="00D94427">
            <w:pPr>
              <w:rPr>
                <w:rFonts w:ascii="Century Gothic" w:hAnsi="Century Gothic" w:cs="Calibri"/>
              </w:rPr>
            </w:pPr>
          </w:p>
          <w:p w14:paraId="6AC1BA8E" w14:textId="1EB00571" w:rsidR="00F31837" w:rsidRPr="00A76C93" w:rsidRDefault="006F1ADA" w:rsidP="00D94427">
            <w:pPr>
              <w:rPr>
                <w:rFonts w:ascii="Century Gothic" w:hAnsi="Century Gothic" w:cs="Calibri"/>
              </w:rPr>
            </w:pPr>
            <w:r w:rsidRPr="00A76C93">
              <w:rPr>
                <w:rFonts w:ascii="Century Gothic" w:hAnsi="Century Gothic" w:cs="Calibri"/>
              </w:rPr>
              <w:t>NICE guidelines are developed based on a methodology</w:t>
            </w:r>
            <w:r w:rsidR="00F31837" w:rsidRPr="00A76C93">
              <w:rPr>
                <w:rFonts w:ascii="Century Gothic" w:hAnsi="Century Gothic" w:cs="Calibri"/>
              </w:rPr>
              <w:t xml:space="preserve"> – e.g. define scope, set and agree research questions, analyse, recommend etc.</w:t>
            </w:r>
          </w:p>
          <w:p w14:paraId="795412FC" w14:textId="77777777" w:rsidR="006F1ADA" w:rsidRPr="00A76C93" w:rsidRDefault="006F1ADA" w:rsidP="00D94427">
            <w:pPr>
              <w:rPr>
                <w:rFonts w:ascii="Century Gothic" w:hAnsi="Century Gothic" w:cs="Calibri"/>
              </w:rPr>
            </w:pPr>
          </w:p>
          <w:p w14:paraId="6A134D68" w14:textId="396D8425" w:rsidR="006F1ADA" w:rsidRPr="00A76C93" w:rsidRDefault="006F1ADA" w:rsidP="00D94427">
            <w:pPr>
              <w:rPr>
                <w:rFonts w:ascii="Century Gothic" w:hAnsi="Century Gothic" w:cs="Calibri"/>
              </w:rPr>
            </w:pPr>
            <w:r w:rsidRPr="00A76C93">
              <w:rPr>
                <w:rFonts w:ascii="Century Gothic" w:hAnsi="Century Gothic" w:cs="Calibri"/>
              </w:rPr>
              <w:t xml:space="preserve">The NICE guideline recommendation on earwax </w:t>
            </w:r>
            <w:r w:rsidR="00991284">
              <w:rPr>
                <w:rFonts w:ascii="Century Gothic" w:hAnsi="Century Gothic" w:cs="Calibri"/>
              </w:rPr>
              <w:t>is</w:t>
            </w:r>
            <w:r w:rsidRPr="00A76C93">
              <w:rPr>
                <w:rFonts w:ascii="Century Gothic" w:hAnsi="Century Gothic" w:cs="Calibri"/>
              </w:rPr>
              <w:t xml:space="preserve"> therefore related specifically to the management of earwax in adults. </w:t>
            </w:r>
          </w:p>
          <w:p w14:paraId="32108F92" w14:textId="4060A051" w:rsidR="006F1ADA" w:rsidRPr="00A76C93" w:rsidRDefault="006F1ADA" w:rsidP="00D94427">
            <w:pPr>
              <w:rPr>
                <w:rFonts w:ascii="Century Gothic" w:hAnsi="Century Gothic" w:cs="Calibri"/>
              </w:rPr>
            </w:pPr>
          </w:p>
          <w:p w14:paraId="55F319D1" w14:textId="5E26388A" w:rsidR="006F1ADA" w:rsidRPr="00A76C93" w:rsidRDefault="006F1ADA" w:rsidP="00D94427">
            <w:pPr>
              <w:rPr>
                <w:rFonts w:ascii="Century Gothic" w:hAnsi="Century Gothic" w:cs="Calibri"/>
                <w:color w:val="000000"/>
              </w:rPr>
            </w:pPr>
            <w:r w:rsidRPr="00A76C93">
              <w:rPr>
                <w:rFonts w:ascii="Century Gothic" w:hAnsi="Century Gothic" w:cs="Calibri"/>
              </w:rPr>
              <w:t xml:space="preserve">Within this NICE assessed various methods, each with their own, albeit overlapping, </w:t>
            </w:r>
            <w:r w:rsidRPr="00A76C93">
              <w:rPr>
                <w:rFonts w:ascii="Century Gothic" w:hAnsi="Century Gothic" w:cs="Calibri"/>
                <w:color w:val="000000"/>
              </w:rPr>
              <w:t xml:space="preserve">contraindications. </w:t>
            </w:r>
          </w:p>
          <w:p w14:paraId="7B53E0F1" w14:textId="5BE98372" w:rsidR="006F1ADA" w:rsidRPr="00A76C93" w:rsidRDefault="006F1ADA" w:rsidP="00D94427">
            <w:pPr>
              <w:rPr>
                <w:rFonts w:ascii="Century Gothic" w:hAnsi="Century Gothic" w:cs="Calibri"/>
                <w:color w:val="000000"/>
              </w:rPr>
            </w:pPr>
          </w:p>
          <w:p w14:paraId="4F91A691" w14:textId="046F668E" w:rsidR="00A37CFA" w:rsidRPr="00A76C93" w:rsidRDefault="006F1ADA" w:rsidP="00D94427">
            <w:pPr>
              <w:rPr>
                <w:rFonts w:ascii="Century Gothic" w:hAnsi="Century Gothic" w:cs="Calibri"/>
                <w:color w:val="000000"/>
              </w:rPr>
            </w:pPr>
            <w:r w:rsidRPr="00A76C93">
              <w:rPr>
                <w:rFonts w:ascii="Century Gothic" w:hAnsi="Century Gothic" w:cs="Calibri"/>
                <w:color w:val="000000"/>
              </w:rPr>
              <w:t xml:space="preserve">The NICE Committee within this took the decision to recommend most earwax </w:t>
            </w:r>
            <w:r w:rsidR="007B6CFC" w:rsidRPr="00A76C93">
              <w:rPr>
                <w:rFonts w:ascii="Century Gothic" w:hAnsi="Century Gothic" w:cs="Calibri"/>
                <w:color w:val="000000"/>
              </w:rPr>
              <w:t xml:space="preserve">should </w:t>
            </w:r>
            <w:r w:rsidRPr="00A76C93">
              <w:rPr>
                <w:rFonts w:ascii="Century Gothic" w:hAnsi="Century Gothic" w:cs="Calibri"/>
                <w:color w:val="000000"/>
              </w:rPr>
              <w:t xml:space="preserve">be managed in primary and community care settings to reduce pressure on ENT and hospitals. </w:t>
            </w:r>
          </w:p>
          <w:p w14:paraId="783AF539" w14:textId="4AE6F7EE" w:rsidR="00A37CFA" w:rsidRPr="00A76C93" w:rsidRDefault="00A37CFA" w:rsidP="00D94427">
            <w:pPr>
              <w:rPr>
                <w:rFonts w:ascii="Century Gothic" w:hAnsi="Century Gothic" w:cs="Calibri"/>
                <w:color w:val="000000"/>
              </w:rPr>
            </w:pPr>
          </w:p>
          <w:p w14:paraId="7F3B3F84" w14:textId="084017E5" w:rsidR="007B6CFC" w:rsidRPr="00A76C93" w:rsidRDefault="00A37CFA" w:rsidP="00D94427">
            <w:pPr>
              <w:rPr>
                <w:rFonts w:ascii="Century Gothic" w:hAnsi="Century Gothic" w:cs="Calibri"/>
                <w:color w:val="000000"/>
              </w:rPr>
            </w:pPr>
            <w:r w:rsidRPr="00A76C93">
              <w:rPr>
                <w:rFonts w:ascii="Century Gothic" w:hAnsi="Century Gothic" w:cs="Calibri"/>
                <w:color w:val="000000"/>
              </w:rPr>
              <w:t>The Committee felt that irrigation was more likely to be</w:t>
            </w:r>
            <w:r w:rsidR="00F31837" w:rsidRPr="00A76C93">
              <w:rPr>
                <w:rFonts w:ascii="Century Gothic" w:hAnsi="Century Gothic" w:cs="Calibri"/>
                <w:color w:val="000000"/>
              </w:rPr>
              <w:t xml:space="preserve"> used</w:t>
            </w:r>
            <w:r w:rsidRPr="00A76C93">
              <w:rPr>
                <w:rFonts w:ascii="Century Gothic" w:hAnsi="Century Gothic" w:cs="Calibri"/>
                <w:color w:val="000000"/>
              </w:rPr>
              <w:t xml:space="preserve"> in primary and community</w:t>
            </w:r>
            <w:r w:rsidR="003B27D4">
              <w:rPr>
                <w:rFonts w:ascii="Century Gothic" w:hAnsi="Century Gothic" w:cs="Calibri"/>
                <w:color w:val="000000"/>
              </w:rPr>
              <w:t xml:space="preserve"> care</w:t>
            </w:r>
            <w:r w:rsidRPr="00A76C93">
              <w:rPr>
                <w:rFonts w:ascii="Century Gothic" w:hAnsi="Century Gothic" w:cs="Calibri"/>
                <w:color w:val="000000"/>
              </w:rPr>
              <w:t xml:space="preserve"> settings. </w:t>
            </w:r>
            <w:r w:rsidR="003B27D4">
              <w:rPr>
                <w:rFonts w:ascii="Century Gothic" w:hAnsi="Century Gothic" w:cs="Calibri"/>
                <w:color w:val="000000"/>
              </w:rPr>
              <w:t xml:space="preserve">NICE </w:t>
            </w:r>
            <w:r w:rsidRPr="00A76C93">
              <w:rPr>
                <w:rFonts w:ascii="Century Gothic" w:hAnsi="Century Gothic" w:cs="Calibri"/>
                <w:color w:val="000000"/>
              </w:rPr>
              <w:t xml:space="preserve">then set out contraindications for </w:t>
            </w:r>
            <w:r w:rsidR="00F31837" w:rsidRPr="00A76C93">
              <w:rPr>
                <w:rFonts w:ascii="Century Gothic" w:hAnsi="Century Gothic" w:cs="Calibri"/>
                <w:color w:val="000000"/>
              </w:rPr>
              <w:t>irrigation</w:t>
            </w:r>
            <w:r w:rsidR="007B6CFC" w:rsidRPr="00A76C93">
              <w:rPr>
                <w:rFonts w:ascii="Century Gothic" w:hAnsi="Century Gothic" w:cs="Calibri"/>
                <w:color w:val="000000"/>
              </w:rPr>
              <w:t xml:space="preserve"> specifically for that reason. </w:t>
            </w:r>
          </w:p>
          <w:p w14:paraId="7811CAEF" w14:textId="77777777" w:rsidR="007B6CFC" w:rsidRPr="00A76C93" w:rsidRDefault="007B6CFC" w:rsidP="00D94427">
            <w:pPr>
              <w:rPr>
                <w:rFonts w:ascii="Century Gothic" w:hAnsi="Century Gothic" w:cs="Calibri"/>
                <w:color w:val="000000"/>
              </w:rPr>
            </w:pPr>
          </w:p>
          <w:p w14:paraId="29AF01AB" w14:textId="738936E9" w:rsidR="00A37CFA" w:rsidRPr="00A76C93" w:rsidRDefault="007B6CFC" w:rsidP="00D94427">
            <w:pPr>
              <w:rPr>
                <w:rFonts w:ascii="Century Gothic" w:hAnsi="Century Gothic" w:cs="Calibri"/>
                <w:color w:val="000000"/>
              </w:rPr>
            </w:pPr>
            <w:r w:rsidRPr="00A76C93">
              <w:rPr>
                <w:rFonts w:ascii="Century Gothic" w:hAnsi="Century Gothic" w:cs="Calibri"/>
                <w:color w:val="000000"/>
              </w:rPr>
              <w:lastRenderedPageBreak/>
              <w:t xml:space="preserve">This is not the same as setting contraindications for primary or community care settings. </w:t>
            </w:r>
          </w:p>
          <w:p w14:paraId="2AC495EC" w14:textId="52B846D1" w:rsidR="00F31837" w:rsidRPr="00A76C93" w:rsidRDefault="00F31837" w:rsidP="00D94427">
            <w:pPr>
              <w:rPr>
                <w:rFonts w:ascii="Century Gothic" w:hAnsi="Century Gothic" w:cs="Calibri"/>
                <w:color w:val="000000"/>
              </w:rPr>
            </w:pPr>
          </w:p>
          <w:p w14:paraId="32A5238A" w14:textId="657412D4" w:rsidR="00F31837" w:rsidRPr="00A76C93" w:rsidRDefault="007B6CFC" w:rsidP="00F31837">
            <w:pPr>
              <w:rPr>
                <w:rFonts w:ascii="Century Gothic" w:hAnsi="Century Gothic" w:cs="Calibri"/>
                <w:color w:val="000000"/>
              </w:rPr>
            </w:pPr>
            <w:r w:rsidRPr="00A76C93">
              <w:rPr>
                <w:rFonts w:ascii="Century Gothic" w:hAnsi="Century Gothic" w:cs="Calibri"/>
                <w:color w:val="000000"/>
              </w:rPr>
              <w:t>The NICE Committee</w:t>
            </w:r>
            <w:r w:rsidR="00F31837" w:rsidRPr="00A76C93">
              <w:rPr>
                <w:rFonts w:ascii="Century Gothic" w:hAnsi="Century Gothic" w:cs="Calibri"/>
                <w:color w:val="000000"/>
              </w:rPr>
              <w:t xml:space="preserve"> then accepted that microsuction could be performed in primary and community care settings. That in those cases the contraindications for irrigation would not always apply. </w:t>
            </w:r>
            <w:r w:rsidRPr="00A76C93">
              <w:rPr>
                <w:rFonts w:ascii="Century Gothic" w:hAnsi="Century Gothic" w:cs="Calibri"/>
                <w:color w:val="000000"/>
              </w:rPr>
              <w:t xml:space="preserve">  </w:t>
            </w:r>
            <w:r w:rsidR="00F31837" w:rsidRPr="00A76C93">
              <w:rPr>
                <w:rFonts w:ascii="Century Gothic" w:hAnsi="Century Gothic" w:cs="Calibri"/>
                <w:color w:val="000000"/>
              </w:rPr>
              <w:t xml:space="preserve">Please see pages 135-136 of the full NICE guideline </w:t>
            </w:r>
            <w:hyperlink r:id="rId12" w:history="1">
              <w:r w:rsidR="00F31837" w:rsidRPr="00A76C93">
                <w:rPr>
                  <w:rStyle w:val="Hyperlink"/>
                  <w:rFonts w:ascii="Century Gothic" w:hAnsi="Century Gothic"/>
                </w:rPr>
                <w:t>https://www.nice.org.uk/guidance/ng98/evidence/full-guideline-pdf-4852693117</w:t>
              </w:r>
            </w:hyperlink>
          </w:p>
          <w:p w14:paraId="02818FBA" w14:textId="04513CBA" w:rsidR="00F31837" w:rsidRPr="00A76C93" w:rsidRDefault="00F31837" w:rsidP="00D94427">
            <w:pPr>
              <w:rPr>
                <w:rFonts w:ascii="Century Gothic" w:hAnsi="Century Gothic" w:cs="Calibri"/>
                <w:color w:val="000000"/>
              </w:rPr>
            </w:pPr>
          </w:p>
          <w:p w14:paraId="639302EA" w14:textId="31034A59" w:rsidR="003463AB" w:rsidRPr="00A76C93" w:rsidRDefault="00F31837" w:rsidP="00F31837">
            <w:pPr>
              <w:rPr>
                <w:rFonts w:ascii="Century Gothic" w:hAnsi="Century Gothic" w:cs="Calibri"/>
                <w:color w:val="000000"/>
              </w:rPr>
            </w:pPr>
            <w:r w:rsidRPr="00A76C93">
              <w:rPr>
                <w:rFonts w:ascii="Century Gothic" w:hAnsi="Century Gothic" w:cs="Calibri"/>
                <w:color w:val="000000"/>
              </w:rPr>
              <w:t xml:space="preserve">It is therefore not clear why the BSA guidance is excluding all patients with the contraindications in Appendix B from this guidance. </w:t>
            </w:r>
          </w:p>
          <w:p w14:paraId="6648116B" w14:textId="75D134F2" w:rsidR="007B6CFC" w:rsidRPr="00A76C93" w:rsidRDefault="007B6CFC" w:rsidP="00F31837">
            <w:pPr>
              <w:rPr>
                <w:rFonts w:ascii="Century Gothic" w:hAnsi="Century Gothic" w:cs="Calibri"/>
                <w:color w:val="000000"/>
              </w:rPr>
            </w:pPr>
          </w:p>
          <w:p w14:paraId="75E92A83" w14:textId="1C155A1A" w:rsidR="007B6CFC" w:rsidRPr="00A76C93" w:rsidRDefault="007B6CFC" w:rsidP="00F31837">
            <w:pPr>
              <w:rPr>
                <w:rFonts w:ascii="Century Gothic" w:hAnsi="Century Gothic" w:cs="Calibri"/>
                <w:color w:val="000000"/>
              </w:rPr>
            </w:pPr>
            <w:r w:rsidRPr="00A76C93">
              <w:rPr>
                <w:rFonts w:ascii="Century Gothic" w:hAnsi="Century Gothic" w:cs="Calibri"/>
                <w:color w:val="000000"/>
              </w:rPr>
              <w:t xml:space="preserve">It would be helpful if the BSA can check the full NICE guideline and review section 2, scope. </w:t>
            </w:r>
          </w:p>
          <w:p w14:paraId="7A2E6238" w14:textId="607B092F" w:rsidR="007B6CFC" w:rsidRPr="00A76C93" w:rsidRDefault="007B6CFC" w:rsidP="00F31837">
            <w:pPr>
              <w:rPr>
                <w:rFonts w:ascii="Century Gothic" w:hAnsi="Century Gothic" w:cs="Calibri"/>
                <w:color w:val="000000"/>
              </w:rPr>
            </w:pPr>
          </w:p>
          <w:p w14:paraId="1BC9C515" w14:textId="7FB195B1" w:rsidR="00F31837" w:rsidRPr="00A76C93" w:rsidRDefault="007B6CFC" w:rsidP="007B6CFC">
            <w:pPr>
              <w:rPr>
                <w:rFonts w:ascii="Century Gothic" w:hAnsi="Century Gothic" w:cs="Calibri"/>
                <w:color w:val="000000"/>
              </w:rPr>
            </w:pPr>
            <w:r w:rsidRPr="00A76C93">
              <w:rPr>
                <w:rFonts w:ascii="Century Gothic" w:hAnsi="Century Gothic" w:cs="Calibri"/>
                <w:color w:val="000000"/>
              </w:rPr>
              <w:t xml:space="preserve">For example, if irrigation is the </w:t>
            </w:r>
            <w:r w:rsidR="004B49CB">
              <w:rPr>
                <w:rFonts w:ascii="Century Gothic" w:hAnsi="Century Gothic" w:cs="Calibri"/>
                <w:color w:val="000000"/>
              </w:rPr>
              <w:t>‘</w:t>
            </w:r>
            <w:r w:rsidRPr="00A76C93">
              <w:rPr>
                <w:rFonts w:ascii="Century Gothic" w:hAnsi="Century Gothic" w:cs="Calibri"/>
                <w:color w:val="000000"/>
              </w:rPr>
              <w:t>preferred</w:t>
            </w:r>
            <w:r w:rsidR="004B49CB">
              <w:rPr>
                <w:rFonts w:ascii="Century Gothic" w:hAnsi="Century Gothic" w:cs="Calibri"/>
                <w:color w:val="000000"/>
              </w:rPr>
              <w:t>’</w:t>
            </w:r>
            <w:r w:rsidRPr="00A76C93">
              <w:rPr>
                <w:rFonts w:ascii="Century Gothic" w:hAnsi="Century Gothic" w:cs="Calibri"/>
                <w:color w:val="000000"/>
              </w:rPr>
              <w:t xml:space="preserve"> (</w:t>
            </w:r>
            <w:r w:rsidR="004B49CB">
              <w:rPr>
                <w:rFonts w:ascii="Century Gothic" w:hAnsi="Century Gothic" w:cs="Calibri"/>
                <w:color w:val="000000"/>
              </w:rPr>
              <w:t xml:space="preserve">assumed </w:t>
            </w:r>
            <w:r w:rsidRPr="00A76C93">
              <w:rPr>
                <w:rFonts w:ascii="Century Gothic" w:hAnsi="Century Gothic" w:cs="Calibri"/>
                <w:color w:val="000000"/>
              </w:rPr>
              <w:t xml:space="preserve">default method), as per the NICE guideline, then if there are </w:t>
            </w:r>
            <w:r w:rsidR="00F31837" w:rsidRPr="00A76C93">
              <w:rPr>
                <w:rFonts w:ascii="Century Gothic" w:hAnsi="Century Gothic" w:cs="Calibri"/>
                <w:color w:val="000000"/>
              </w:rPr>
              <w:t xml:space="preserve">contraindications </w:t>
            </w:r>
            <w:r w:rsidR="00CE5558" w:rsidRPr="00A76C93">
              <w:rPr>
                <w:rFonts w:ascii="Century Gothic" w:hAnsi="Century Gothic" w:cs="Calibri"/>
                <w:color w:val="000000"/>
              </w:rPr>
              <w:t xml:space="preserve">for irrigation a different method should be used. This might be used by the same healthcare professional. If not, for example because they do not have the equipment, experience or both, then they would refer </w:t>
            </w:r>
            <w:r w:rsidR="00F31837" w:rsidRPr="00A76C93">
              <w:rPr>
                <w:rFonts w:ascii="Century Gothic" w:hAnsi="Century Gothic" w:cs="Calibri"/>
                <w:color w:val="000000"/>
              </w:rPr>
              <w:t>to a colleague who offers microsuction.</w:t>
            </w:r>
            <w:r w:rsidR="00CE5558" w:rsidRPr="00A76C93">
              <w:rPr>
                <w:rFonts w:ascii="Century Gothic" w:hAnsi="Century Gothic" w:cs="Calibri"/>
                <w:color w:val="000000"/>
              </w:rPr>
              <w:t xml:space="preserve"> </w:t>
            </w:r>
          </w:p>
          <w:p w14:paraId="706DCEF0" w14:textId="3FA8BB1C" w:rsidR="00CE5558" w:rsidRPr="00A76C93" w:rsidRDefault="00CE5558" w:rsidP="007B6CFC">
            <w:pPr>
              <w:rPr>
                <w:rFonts w:ascii="Century Gothic" w:hAnsi="Century Gothic" w:cs="Calibri"/>
                <w:color w:val="000000"/>
              </w:rPr>
            </w:pPr>
          </w:p>
          <w:p w14:paraId="2C8DF90A" w14:textId="1963D766" w:rsidR="00F31837" w:rsidRPr="00A76C93" w:rsidRDefault="00CE5558" w:rsidP="00F31837">
            <w:pPr>
              <w:rPr>
                <w:rFonts w:ascii="Century Gothic" w:hAnsi="Century Gothic" w:cs="Calibri"/>
                <w:color w:val="000000"/>
              </w:rPr>
            </w:pPr>
            <w:r w:rsidRPr="00A76C93">
              <w:rPr>
                <w:rFonts w:ascii="Century Gothic" w:hAnsi="Century Gothic" w:cs="Calibri"/>
                <w:color w:val="000000"/>
              </w:rPr>
              <w:lastRenderedPageBreak/>
              <w:t xml:space="preserve">This is therefore not about routine and non-routine ears. It is about selecting the optimal procedure on a case by case basis and always working within scope of practice. </w:t>
            </w:r>
          </w:p>
          <w:p w14:paraId="1A574FA2" w14:textId="25084060" w:rsidR="00F31837" w:rsidRPr="00A76C93" w:rsidRDefault="00F31837" w:rsidP="00F31837">
            <w:pPr>
              <w:rPr>
                <w:rFonts w:ascii="Century Gothic" w:hAnsi="Century Gothic" w:cs="Calibri"/>
              </w:rPr>
            </w:pPr>
          </w:p>
        </w:tc>
        <w:tc>
          <w:tcPr>
            <w:tcW w:w="4678" w:type="dxa"/>
            <w:tcBorders>
              <w:top w:val="nil"/>
              <w:left w:val="nil"/>
              <w:bottom w:val="single" w:sz="4" w:space="0" w:color="auto"/>
              <w:right w:val="single" w:sz="4" w:space="0" w:color="auto"/>
            </w:tcBorders>
            <w:shd w:val="clear" w:color="auto" w:fill="auto"/>
            <w:noWrap/>
          </w:tcPr>
          <w:p w14:paraId="2CF0CF39" w14:textId="326EB695" w:rsidR="00DB06CB" w:rsidRPr="00A76C93" w:rsidRDefault="00DB06CB" w:rsidP="006F1ADA">
            <w:pPr>
              <w:rPr>
                <w:rFonts w:ascii="Century Gothic" w:hAnsi="Century Gothic" w:cs="Calibri"/>
                <w:color w:val="000000"/>
              </w:rPr>
            </w:pPr>
            <w:r w:rsidRPr="00A76C93">
              <w:rPr>
                <w:rFonts w:ascii="Century Gothic" w:hAnsi="Century Gothic" w:cs="Calibri"/>
                <w:color w:val="000000"/>
              </w:rPr>
              <w:lastRenderedPageBreak/>
              <w:t>Review section</w:t>
            </w:r>
            <w:r w:rsidR="008D394E" w:rsidRPr="00A76C93">
              <w:rPr>
                <w:rFonts w:ascii="Century Gothic" w:hAnsi="Century Gothic" w:cs="Calibri"/>
                <w:color w:val="000000"/>
              </w:rPr>
              <w:t xml:space="preserve"> 2</w:t>
            </w:r>
            <w:r w:rsidRPr="00A76C93">
              <w:rPr>
                <w:rFonts w:ascii="Century Gothic" w:hAnsi="Century Gothic" w:cs="Calibri"/>
                <w:color w:val="000000"/>
              </w:rPr>
              <w:t xml:space="preserve">. Suggested wording </w:t>
            </w:r>
          </w:p>
          <w:p w14:paraId="2C7A87AB" w14:textId="73B363D7" w:rsidR="00DB06CB" w:rsidRPr="00A76C93" w:rsidRDefault="00DB06CB" w:rsidP="006F1ADA">
            <w:pPr>
              <w:rPr>
                <w:rFonts w:ascii="Century Gothic" w:hAnsi="Century Gothic" w:cs="Calibri"/>
                <w:color w:val="000000"/>
              </w:rPr>
            </w:pPr>
          </w:p>
          <w:p w14:paraId="440A1C33" w14:textId="61222E0F" w:rsidR="00DB06CB" w:rsidRPr="00A76C93" w:rsidRDefault="000A79F6" w:rsidP="006F1ADA">
            <w:pPr>
              <w:rPr>
                <w:rFonts w:ascii="Century Gothic" w:hAnsi="Century Gothic" w:cs="Calibri"/>
                <w:color w:val="000000"/>
              </w:rPr>
            </w:pPr>
            <w:r w:rsidRPr="00A76C93">
              <w:rPr>
                <w:rFonts w:ascii="Century Gothic" w:hAnsi="Century Gothic" w:cs="Calibri"/>
                <w:color w:val="000000"/>
              </w:rPr>
              <w:t>“This guidance only covers the management of earwax. It does not extend to the treatment of conditions or the removal of other foreign bodies.</w:t>
            </w:r>
          </w:p>
          <w:p w14:paraId="774DEFE1" w14:textId="03F8834D" w:rsidR="000A79F6" w:rsidRPr="00A76C93" w:rsidRDefault="000A79F6" w:rsidP="006F1ADA">
            <w:pPr>
              <w:rPr>
                <w:rFonts w:ascii="Century Gothic" w:hAnsi="Century Gothic" w:cs="Calibri"/>
                <w:color w:val="000000"/>
              </w:rPr>
            </w:pPr>
          </w:p>
          <w:p w14:paraId="6FD1DE7C" w14:textId="67EE2D82" w:rsidR="000A79F6" w:rsidRPr="00A76C93" w:rsidRDefault="000A79F6" w:rsidP="006F1ADA">
            <w:pPr>
              <w:rPr>
                <w:rFonts w:ascii="Century Gothic" w:hAnsi="Century Gothic" w:cs="Calibri"/>
                <w:color w:val="000000"/>
              </w:rPr>
            </w:pPr>
            <w:r w:rsidRPr="00A76C93">
              <w:rPr>
                <w:rFonts w:ascii="Century Gothic" w:hAnsi="Century Gothic" w:cs="Calibri"/>
                <w:color w:val="000000"/>
              </w:rPr>
              <w:t xml:space="preserve">It is important to note that healthcare professionals </w:t>
            </w:r>
            <w:proofErr w:type="gramStart"/>
            <w:r w:rsidRPr="00A76C93">
              <w:rPr>
                <w:rFonts w:ascii="Century Gothic" w:hAnsi="Century Gothic" w:cs="Calibri"/>
                <w:color w:val="000000"/>
              </w:rPr>
              <w:t>should work within their scope of practice at all times</w:t>
            </w:r>
            <w:proofErr w:type="gramEnd"/>
            <w:r w:rsidRPr="00A76C93">
              <w:rPr>
                <w:rFonts w:ascii="Century Gothic" w:hAnsi="Century Gothic" w:cs="Calibri"/>
                <w:color w:val="000000"/>
              </w:rPr>
              <w:t xml:space="preserve"> and ensure</w:t>
            </w:r>
            <w:r w:rsidR="00214714">
              <w:rPr>
                <w:rFonts w:ascii="Century Gothic" w:hAnsi="Century Gothic" w:cs="Calibri"/>
                <w:color w:val="000000"/>
              </w:rPr>
              <w:t xml:space="preserve"> </w:t>
            </w:r>
            <w:r w:rsidRPr="00A76C93">
              <w:rPr>
                <w:rFonts w:ascii="Century Gothic" w:hAnsi="Century Gothic" w:cs="Calibri"/>
                <w:color w:val="000000"/>
              </w:rPr>
              <w:t xml:space="preserve">they understand and communicate the risks associated with the specific procedure(s) they offer. </w:t>
            </w:r>
            <w:r w:rsidR="00214714">
              <w:rPr>
                <w:rFonts w:ascii="Century Gothic" w:hAnsi="Century Gothic" w:cs="Calibri"/>
                <w:color w:val="000000"/>
              </w:rPr>
              <w:t xml:space="preserve"> </w:t>
            </w:r>
          </w:p>
          <w:p w14:paraId="67FCA2C9" w14:textId="77777777" w:rsidR="006F1ADA" w:rsidRPr="00A76C93" w:rsidRDefault="006F1ADA" w:rsidP="00D94427">
            <w:pPr>
              <w:rPr>
                <w:rFonts w:ascii="Century Gothic" w:hAnsi="Century Gothic" w:cs="Calibri"/>
                <w:color w:val="000000"/>
              </w:rPr>
            </w:pPr>
          </w:p>
          <w:p w14:paraId="2296CAA0" w14:textId="4BC79F3C" w:rsidR="000A79F6" w:rsidRPr="00A76C93" w:rsidRDefault="000A79F6" w:rsidP="00D94427">
            <w:pPr>
              <w:rPr>
                <w:rFonts w:ascii="Century Gothic" w:hAnsi="Century Gothic" w:cs="Calibri"/>
                <w:color w:val="000000"/>
              </w:rPr>
            </w:pPr>
            <w:r w:rsidRPr="00A76C93">
              <w:rPr>
                <w:rFonts w:ascii="Century Gothic" w:hAnsi="Century Gothic" w:cs="Calibri"/>
                <w:color w:val="000000"/>
              </w:rPr>
              <w:t xml:space="preserve">For example, if only irrigation is offered, then the procedure should not be offered to patients with the contraindications in Appendix </w:t>
            </w:r>
            <w:r w:rsidR="008D394E" w:rsidRPr="00A76C93">
              <w:rPr>
                <w:rFonts w:ascii="Century Gothic" w:hAnsi="Century Gothic" w:cs="Calibri"/>
                <w:color w:val="000000"/>
              </w:rPr>
              <w:t>B</w:t>
            </w:r>
            <w:r w:rsidRPr="00A76C93">
              <w:rPr>
                <w:rFonts w:ascii="Century Gothic" w:hAnsi="Century Gothic" w:cs="Calibri"/>
                <w:color w:val="000000"/>
              </w:rPr>
              <w:t xml:space="preserve">.  The patient should be referred to a colleague that provides microsuction or a specialist ear care service or ENT as appropriate”  </w:t>
            </w:r>
          </w:p>
        </w:tc>
      </w:tr>
      <w:tr w:rsidR="004D5625" w:rsidRPr="00A76C93" w14:paraId="15CF554B" w14:textId="77777777" w:rsidTr="009D4452">
        <w:trPr>
          <w:trHeight w:val="285"/>
        </w:trPr>
        <w:tc>
          <w:tcPr>
            <w:tcW w:w="1134" w:type="dxa"/>
            <w:tcBorders>
              <w:top w:val="nil"/>
              <w:left w:val="single" w:sz="4" w:space="0" w:color="auto"/>
              <w:bottom w:val="single" w:sz="4" w:space="0" w:color="auto"/>
              <w:right w:val="single" w:sz="4" w:space="0" w:color="auto"/>
            </w:tcBorders>
            <w:shd w:val="clear" w:color="auto" w:fill="auto"/>
            <w:noWrap/>
          </w:tcPr>
          <w:p w14:paraId="72BA6E3A" w14:textId="5E09073B" w:rsidR="004D5625" w:rsidRPr="00A76C93" w:rsidRDefault="000F4EA1" w:rsidP="00D94427">
            <w:pPr>
              <w:rPr>
                <w:rFonts w:ascii="Century Gothic" w:hAnsi="Century Gothic" w:cs="Calibri"/>
              </w:rPr>
            </w:pPr>
            <w:r w:rsidRPr="00A76C93">
              <w:rPr>
                <w:rFonts w:ascii="Century Gothic" w:hAnsi="Century Gothic" w:cs="Calibri"/>
              </w:rPr>
              <w:lastRenderedPageBreak/>
              <w:t>2.2</w:t>
            </w:r>
          </w:p>
        </w:tc>
        <w:tc>
          <w:tcPr>
            <w:tcW w:w="856" w:type="dxa"/>
            <w:tcBorders>
              <w:top w:val="nil"/>
              <w:left w:val="nil"/>
              <w:bottom w:val="single" w:sz="4" w:space="0" w:color="auto"/>
              <w:right w:val="single" w:sz="4" w:space="0" w:color="auto"/>
            </w:tcBorders>
            <w:shd w:val="clear" w:color="auto" w:fill="auto"/>
            <w:noWrap/>
          </w:tcPr>
          <w:p w14:paraId="7523A147" w14:textId="3EE3C606" w:rsidR="004D5625" w:rsidRPr="00A76C93" w:rsidRDefault="000F4EA1" w:rsidP="00D94427">
            <w:pPr>
              <w:rPr>
                <w:rFonts w:ascii="Century Gothic" w:hAnsi="Century Gothic" w:cs="Calibri"/>
              </w:rPr>
            </w:pPr>
            <w:r w:rsidRPr="00A76C93">
              <w:rPr>
                <w:rFonts w:ascii="Century Gothic" w:hAnsi="Century Gothic" w:cs="Calibri"/>
              </w:rPr>
              <w:t>165-1</w:t>
            </w:r>
            <w:r w:rsidR="00B6437E" w:rsidRPr="00A76C93">
              <w:rPr>
                <w:rFonts w:ascii="Century Gothic" w:hAnsi="Century Gothic" w:cs="Calibri"/>
              </w:rPr>
              <w:t>75</w:t>
            </w:r>
          </w:p>
        </w:tc>
        <w:tc>
          <w:tcPr>
            <w:tcW w:w="1419" w:type="dxa"/>
            <w:tcBorders>
              <w:top w:val="nil"/>
              <w:left w:val="nil"/>
              <w:bottom w:val="single" w:sz="4" w:space="0" w:color="auto"/>
              <w:right w:val="single" w:sz="4" w:space="0" w:color="auto"/>
            </w:tcBorders>
            <w:shd w:val="clear" w:color="auto" w:fill="auto"/>
          </w:tcPr>
          <w:p w14:paraId="72EF0485" w14:textId="3A2F733E" w:rsidR="004D5625" w:rsidRPr="00A76C93" w:rsidRDefault="000F4EA1" w:rsidP="00D94427">
            <w:pPr>
              <w:rPr>
                <w:rFonts w:ascii="Century Gothic" w:hAnsi="Century Gothic" w:cs="Calibri"/>
              </w:rPr>
            </w:pPr>
            <w:r w:rsidRPr="00A76C93">
              <w:rPr>
                <w:rFonts w:ascii="Century Gothic" w:hAnsi="Century Gothic" w:cs="Calibri"/>
              </w:rPr>
              <w:t>2.2.1 and 2.2.2</w:t>
            </w:r>
          </w:p>
        </w:tc>
        <w:tc>
          <w:tcPr>
            <w:tcW w:w="5805" w:type="dxa"/>
            <w:tcBorders>
              <w:top w:val="nil"/>
              <w:left w:val="nil"/>
              <w:bottom w:val="single" w:sz="4" w:space="0" w:color="auto"/>
              <w:right w:val="single" w:sz="4" w:space="0" w:color="auto"/>
            </w:tcBorders>
            <w:shd w:val="clear" w:color="auto" w:fill="auto"/>
          </w:tcPr>
          <w:p w14:paraId="6D539371" w14:textId="77777777" w:rsidR="003E0C2C" w:rsidRPr="00A76C93" w:rsidRDefault="000F4EA1" w:rsidP="00D94427">
            <w:pPr>
              <w:rPr>
                <w:rFonts w:ascii="Century Gothic" w:hAnsi="Century Gothic" w:cs="Calibri"/>
              </w:rPr>
            </w:pPr>
            <w:r w:rsidRPr="00A76C93">
              <w:rPr>
                <w:rFonts w:ascii="Century Gothic" w:hAnsi="Century Gothic" w:cs="Calibri"/>
              </w:rPr>
              <w:t>This is confusing and potentially misleading</w:t>
            </w:r>
            <w:r w:rsidR="003E0C2C" w:rsidRPr="00A76C93">
              <w:rPr>
                <w:rFonts w:ascii="Century Gothic" w:hAnsi="Century Gothic" w:cs="Calibri"/>
              </w:rPr>
              <w:t xml:space="preserve">. </w:t>
            </w:r>
          </w:p>
          <w:p w14:paraId="1BD5618A" w14:textId="77777777" w:rsidR="003E0C2C" w:rsidRPr="00A76C93" w:rsidRDefault="003E0C2C" w:rsidP="00D94427">
            <w:pPr>
              <w:rPr>
                <w:rFonts w:ascii="Century Gothic" w:hAnsi="Century Gothic" w:cs="Calibri"/>
              </w:rPr>
            </w:pPr>
          </w:p>
          <w:p w14:paraId="6BAC32D1" w14:textId="7AE95C81" w:rsidR="00B6437E" w:rsidRPr="00A76C93" w:rsidRDefault="00E37317" w:rsidP="00D94427">
            <w:pPr>
              <w:rPr>
                <w:rFonts w:ascii="Century Gothic" w:hAnsi="Century Gothic" w:cs="Calibri"/>
              </w:rPr>
            </w:pPr>
            <w:r>
              <w:rPr>
                <w:rFonts w:ascii="Century Gothic" w:hAnsi="Century Gothic" w:cs="Calibri"/>
              </w:rPr>
              <w:t>For example, i</w:t>
            </w:r>
            <w:r w:rsidR="003E0C2C" w:rsidRPr="00A76C93">
              <w:rPr>
                <w:rFonts w:ascii="Century Gothic" w:hAnsi="Century Gothic" w:cs="Calibri"/>
              </w:rPr>
              <w:t xml:space="preserve">t appears to </w:t>
            </w:r>
            <w:r w:rsidR="000F4EA1" w:rsidRPr="00A76C93">
              <w:rPr>
                <w:rFonts w:ascii="Century Gothic" w:hAnsi="Century Gothic" w:cs="Calibri"/>
              </w:rPr>
              <w:t>confuse statutory regulation and voluntary registration</w:t>
            </w:r>
            <w:r w:rsidR="001E4B91">
              <w:rPr>
                <w:rFonts w:ascii="Century Gothic" w:hAnsi="Century Gothic" w:cs="Calibri"/>
              </w:rPr>
              <w:t>:</w:t>
            </w:r>
          </w:p>
          <w:p w14:paraId="68D7C321" w14:textId="3865A84C" w:rsidR="00B6437E" w:rsidRPr="00A76C93" w:rsidRDefault="00B6437E" w:rsidP="00D94427">
            <w:pPr>
              <w:rPr>
                <w:rFonts w:ascii="Century Gothic" w:hAnsi="Century Gothic" w:cs="Calibri"/>
              </w:rPr>
            </w:pPr>
          </w:p>
          <w:p w14:paraId="29D51D6F" w14:textId="77777777" w:rsidR="003E0C2C" w:rsidRPr="00A76C93" w:rsidRDefault="00B6437E" w:rsidP="003E0C2C">
            <w:pPr>
              <w:pStyle w:val="ListParagraph"/>
              <w:numPr>
                <w:ilvl w:val="0"/>
                <w:numId w:val="8"/>
              </w:numPr>
              <w:rPr>
                <w:rFonts w:ascii="Century Gothic" w:hAnsi="Century Gothic" w:cs="Calibri"/>
              </w:rPr>
            </w:pPr>
            <w:r w:rsidRPr="00A76C93">
              <w:rPr>
                <w:rFonts w:ascii="Century Gothic" w:hAnsi="Century Gothic" w:cs="Calibri"/>
              </w:rPr>
              <w:t>lines 165-166 refers to “registered with”, which is technically correct – in that people register with the RCCP on a voluntary basis</w:t>
            </w:r>
          </w:p>
          <w:p w14:paraId="578EEAB2" w14:textId="77777777" w:rsidR="003E0C2C" w:rsidRPr="00A76C93" w:rsidRDefault="003E0C2C" w:rsidP="003E0C2C">
            <w:pPr>
              <w:pStyle w:val="ListParagraph"/>
              <w:numPr>
                <w:ilvl w:val="0"/>
                <w:numId w:val="8"/>
              </w:numPr>
              <w:rPr>
                <w:rFonts w:ascii="Century Gothic" w:hAnsi="Century Gothic" w:cs="Calibri"/>
              </w:rPr>
            </w:pPr>
            <w:r w:rsidRPr="00A76C93">
              <w:rPr>
                <w:rFonts w:ascii="Century Gothic" w:hAnsi="Century Gothic" w:cs="Calibri"/>
              </w:rPr>
              <w:t>b</w:t>
            </w:r>
            <w:r w:rsidR="00B6437E" w:rsidRPr="00A76C93">
              <w:rPr>
                <w:rFonts w:ascii="Century Gothic" w:hAnsi="Century Gothic" w:cs="Calibri"/>
              </w:rPr>
              <w:t xml:space="preserve">ut line 168 </w:t>
            </w:r>
            <w:r w:rsidRPr="00A76C93">
              <w:rPr>
                <w:rFonts w:ascii="Century Gothic" w:hAnsi="Century Gothic" w:cs="Calibri"/>
              </w:rPr>
              <w:t xml:space="preserve">then </w:t>
            </w:r>
            <w:r w:rsidR="00B6437E" w:rsidRPr="00A76C93">
              <w:rPr>
                <w:rFonts w:ascii="Century Gothic" w:hAnsi="Century Gothic" w:cs="Calibri"/>
              </w:rPr>
              <w:t>refers to “non-statutory registerable status” which is a very different point</w:t>
            </w:r>
          </w:p>
          <w:p w14:paraId="0489715D" w14:textId="4F4FFB77" w:rsidR="00B6437E" w:rsidRPr="00A76C93" w:rsidRDefault="003E0C2C" w:rsidP="00E607C4">
            <w:pPr>
              <w:pStyle w:val="ListParagraph"/>
              <w:numPr>
                <w:ilvl w:val="0"/>
                <w:numId w:val="8"/>
              </w:numPr>
              <w:rPr>
                <w:rFonts w:ascii="Century Gothic" w:hAnsi="Century Gothic" w:cs="Calibri"/>
              </w:rPr>
            </w:pPr>
            <w:r w:rsidRPr="00A76C93">
              <w:rPr>
                <w:rFonts w:ascii="Century Gothic" w:hAnsi="Century Gothic" w:cs="Calibri"/>
              </w:rPr>
              <w:t>read together, t</w:t>
            </w:r>
            <w:r w:rsidR="00B6437E" w:rsidRPr="00A76C93">
              <w:rPr>
                <w:rFonts w:ascii="Century Gothic" w:hAnsi="Century Gothic" w:cs="Calibri"/>
              </w:rPr>
              <w:t>his could mislead the reader into thinking the RCCP list is equivalent to the HCPC, NMC or GMC</w:t>
            </w:r>
            <w:r w:rsidRPr="00A76C93">
              <w:rPr>
                <w:rFonts w:ascii="Century Gothic" w:hAnsi="Century Gothic" w:cs="Calibri"/>
              </w:rPr>
              <w:t xml:space="preserve">, which it is not </w:t>
            </w:r>
            <w:r w:rsidR="00C7287B">
              <w:rPr>
                <w:rFonts w:ascii="Century Gothic" w:hAnsi="Century Gothic" w:cs="Calibri"/>
              </w:rPr>
              <w:t>in a legal (</w:t>
            </w:r>
            <w:r w:rsidR="00C7287B" w:rsidRPr="00A76C93">
              <w:rPr>
                <w:rFonts w:ascii="Century Gothic" w:hAnsi="Century Gothic" w:cs="Calibri"/>
              </w:rPr>
              <w:t>statutory</w:t>
            </w:r>
            <w:r w:rsidR="00C7287B">
              <w:rPr>
                <w:rFonts w:ascii="Century Gothic" w:hAnsi="Century Gothic" w:cs="Calibri"/>
              </w:rPr>
              <w:t xml:space="preserve">) context </w:t>
            </w:r>
          </w:p>
          <w:p w14:paraId="678E5F89" w14:textId="77777777" w:rsidR="003E0C2C" w:rsidRPr="00A76C93" w:rsidRDefault="003E0C2C" w:rsidP="003E0C2C">
            <w:pPr>
              <w:pStyle w:val="ListParagraph"/>
              <w:ind w:left="360"/>
              <w:rPr>
                <w:rFonts w:ascii="Century Gothic" w:hAnsi="Century Gothic" w:cs="Calibri"/>
              </w:rPr>
            </w:pPr>
          </w:p>
          <w:p w14:paraId="716AEC2D" w14:textId="2FCB63A5" w:rsidR="00C65170" w:rsidRPr="00A76C93" w:rsidRDefault="00B6437E" w:rsidP="00D94427">
            <w:pPr>
              <w:rPr>
                <w:rFonts w:ascii="Century Gothic" w:hAnsi="Century Gothic" w:cs="Calibri"/>
              </w:rPr>
            </w:pPr>
            <w:r w:rsidRPr="00A76C93">
              <w:rPr>
                <w:rFonts w:ascii="Century Gothic" w:hAnsi="Century Gothic" w:cs="Calibri"/>
              </w:rPr>
              <w:t xml:space="preserve">We </w:t>
            </w:r>
            <w:r w:rsidR="003E0C2C" w:rsidRPr="00A76C93">
              <w:rPr>
                <w:rFonts w:ascii="Century Gothic" w:hAnsi="Century Gothic" w:cs="Calibri"/>
              </w:rPr>
              <w:t xml:space="preserve">assume </w:t>
            </w:r>
            <w:r w:rsidRPr="00A76C93">
              <w:rPr>
                <w:rFonts w:ascii="Century Gothic" w:hAnsi="Century Gothic" w:cs="Calibri"/>
              </w:rPr>
              <w:t xml:space="preserve">the goal is to highlight those registered with a statutory regulator (HCPC, NMC and GMC) or </w:t>
            </w:r>
            <w:r w:rsidR="003E0C2C" w:rsidRPr="00A76C93">
              <w:rPr>
                <w:rFonts w:ascii="Century Gothic" w:hAnsi="Century Gothic" w:cs="Calibri"/>
              </w:rPr>
              <w:t xml:space="preserve">part of a </w:t>
            </w:r>
            <w:r w:rsidRPr="00A76C93">
              <w:rPr>
                <w:rFonts w:ascii="Century Gothic" w:hAnsi="Century Gothic" w:cs="Calibri"/>
              </w:rPr>
              <w:t>PSA accredited voluntary register (AHCS or RCCP) should meet supervision requirement</w:t>
            </w:r>
            <w:r w:rsidR="0046612C">
              <w:rPr>
                <w:rFonts w:ascii="Century Gothic" w:hAnsi="Century Gothic" w:cs="Calibri"/>
              </w:rPr>
              <w:t>s</w:t>
            </w:r>
            <w:r w:rsidRPr="00A76C93">
              <w:rPr>
                <w:rFonts w:ascii="Century Gothic" w:hAnsi="Century Gothic" w:cs="Calibri"/>
              </w:rPr>
              <w:t xml:space="preserve"> of all non-registered staff. Which is correct. </w:t>
            </w:r>
            <w:r w:rsidR="0046612C">
              <w:rPr>
                <w:rFonts w:ascii="Century Gothic" w:hAnsi="Century Gothic" w:cs="Calibri"/>
              </w:rPr>
              <w:t xml:space="preserve"> </w:t>
            </w:r>
          </w:p>
          <w:p w14:paraId="631AFA39" w14:textId="407E608F" w:rsidR="00B6437E" w:rsidRPr="00A76C93" w:rsidRDefault="00B6437E" w:rsidP="00D94427">
            <w:pPr>
              <w:rPr>
                <w:rFonts w:ascii="Century Gothic" w:hAnsi="Century Gothic" w:cs="Calibri"/>
              </w:rPr>
            </w:pPr>
            <w:r w:rsidRPr="00A76C93">
              <w:rPr>
                <w:rFonts w:ascii="Century Gothic" w:hAnsi="Century Gothic" w:cs="Calibri"/>
              </w:rPr>
              <w:br/>
              <w:t>We propose a change to lines 165 to 169 for th</w:t>
            </w:r>
            <w:r w:rsidR="003E0C2C" w:rsidRPr="00A76C93">
              <w:rPr>
                <w:rFonts w:ascii="Century Gothic" w:hAnsi="Century Gothic" w:cs="Calibri"/>
              </w:rPr>
              <w:t>ese</w:t>
            </w:r>
            <w:r w:rsidRPr="00A76C93">
              <w:rPr>
                <w:rFonts w:ascii="Century Gothic" w:hAnsi="Century Gothic" w:cs="Calibri"/>
              </w:rPr>
              <w:t xml:space="preserve"> reason</w:t>
            </w:r>
            <w:r w:rsidR="003E0C2C" w:rsidRPr="00A76C93">
              <w:rPr>
                <w:rFonts w:ascii="Century Gothic" w:hAnsi="Century Gothic" w:cs="Calibri"/>
              </w:rPr>
              <w:t>s</w:t>
            </w:r>
            <w:r w:rsidRPr="00A76C93">
              <w:rPr>
                <w:rFonts w:ascii="Century Gothic" w:hAnsi="Century Gothic" w:cs="Calibri"/>
              </w:rPr>
              <w:t>.</w:t>
            </w:r>
          </w:p>
          <w:p w14:paraId="568D5987" w14:textId="267689E1" w:rsidR="006F1ADA" w:rsidRPr="00A76C93" w:rsidRDefault="006F1ADA" w:rsidP="00D94427">
            <w:pPr>
              <w:rPr>
                <w:rFonts w:ascii="Century Gothic" w:hAnsi="Century Gothic" w:cs="Calibri"/>
              </w:rPr>
            </w:pPr>
          </w:p>
        </w:tc>
        <w:tc>
          <w:tcPr>
            <w:tcW w:w="4678" w:type="dxa"/>
            <w:tcBorders>
              <w:top w:val="nil"/>
              <w:left w:val="nil"/>
              <w:bottom w:val="single" w:sz="4" w:space="0" w:color="auto"/>
              <w:right w:val="single" w:sz="4" w:space="0" w:color="auto"/>
            </w:tcBorders>
            <w:shd w:val="clear" w:color="auto" w:fill="auto"/>
            <w:noWrap/>
          </w:tcPr>
          <w:p w14:paraId="72AB6FF4" w14:textId="2B0CA8B5" w:rsidR="00261F0A" w:rsidRDefault="00261F0A" w:rsidP="00D94427">
            <w:pPr>
              <w:rPr>
                <w:rFonts w:ascii="Century Gothic" w:hAnsi="Century Gothic" w:cs="Calibri"/>
                <w:color w:val="000000"/>
              </w:rPr>
            </w:pPr>
            <w:r>
              <w:rPr>
                <w:rFonts w:ascii="Century Gothic" w:hAnsi="Century Gothic" w:cs="Calibri"/>
                <w:color w:val="000000"/>
              </w:rPr>
              <w:lastRenderedPageBreak/>
              <w:t>Consider a</w:t>
            </w:r>
            <w:r w:rsidR="00B6437E" w:rsidRPr="00A76C93">
              <w:rPr>
                <w:rFonts w:ascii="Century Gothic" w:hAnsi="Century Gothic" w:cs="Calibri"/>
                <w:color w:val="000000"/>
              </w:rPr>
              <w:t>mend</w:t>
            </w:r>
            <w:r>
              <w:rPr>
                <w:rFonts w:ascii="Century Gothic" w:hAnsi="Century Gothic" w:cs="Calibri"/>
                <w:color w:val="000000"/>
              </w:rPr>
              <w:t>ing</w:t>
            </w:r>
            <w:r w:rsidR="00B6437E" w:rsidRPr="00A76C93">
              <w:rPr>
                <w:rFonts w:ascii="Century Gothic" w:hAnsi="Century Gothic" w:cs="Calibri"/>
                <w:color w:val="000000"/>
              </w:rPr>
              <w:t xml:space="preserve"> lines 165-166 to read: </w:t>
            </w:r>
          </w:p>
          <w:p w14:paraId="41C84B0B" w14:textId="77777777" w:rsidR="00261F0A" w:rsidRDefault="00261F0A" w:rsidP="00D94427">
            <w:pPr>
              <w:rPr>
                <w:rFonts w:ascii="Century Gothic" w:hAnsi="Century Gothic" w:cs="Calibri"/>
                <w:color w:val="000000"/>
              </w:rPr>
            </w:pPr>
          </w:p>
          <w:p w14:paraId="539E2AFF" w14:textId="35F2E1AC" w:rsidR="00B6437E" w:rsidRPr="00A76C93" w:rsidRDefault="00B6437E" w:rsidP="00D94427">
            <w:pPr>
              <w:rPr>
                <w:rFonts w:ascii="Century Gothic" w:hAnsi="Century Gothic" w:cs="Calibri"/>
              </w:rPr>
            </w:pPr>
            <w:r w:rsidRPr="00A76C93">
              <w:rPr>
                <w:rFonts w:ascii="Century Gothic" w:hAnsi="Century Gothic" w:cs="Calibri"/>
                <w:color w:val="000000"/>
              </w:rPr>
              <w:t xml:space="preserve">“Healthcare professionals </w:t>
            </w:r>
            <w:r w:rsidRPr="00A76C93">
              <w:rPr>
                <w:rFonts w:ascii="Century Gothic" w:hAnsi="Century Gothic" w:cs="Calibri"/>
              </w:rPr>
              <w:t xml:space="preserve">registered with a statutory regulator (e.g. the HCPC, NMC or GMC) and those </w:t>
            </w:r>
            <w:r w:rsidR="00775148" w:rsidRPr="00A76C93">
              <w:rPr>
                <w:rFonts w:ascii="Century Gothic" w:hAnsi="Century Gothic" w:cs="Calibri"/>
              </w:rPr>
              <w:t xml:space="preserve">registered </w:t>
            </w:r>
            <w:r w:rsidRPr="00A76C93">
              <w:rPr>
                <w:rFonts w:ascii="Century Gothic" w:hAnsi="Century Gothic" w:cs="Calibri"/>
              </w:rPr>
              <w:t>on a PSA accredited register (AHCS or RCCP) are required to work within their scope of practice at all times and ensure they have appropriate professional liability insurance in place before offering aural care.”</w:t>
            </w:r>
            <w:r w:rsidR="00775148" w:rsidRPr="00A76C93">
              <w:rPr>
                <w:rFonts w:ascii="Century Gothic" w:hAnsi="Century Gothic" w:cs="Calibri"/>
              </w:rPr>
              <w:t xml:space="preserve"> </w:t>
            </w:r>
          </w:p>
          <w:p w14:paraId="56422134" w14:textId="77777777" w:rsidR="00B6437E" w:rsidRPr="00A76C93" w:rsidRDefault="00B6437E" w:rsidP="00D94427">
            <w:pPr>
              <w:rPr>
                <w:rFonts w:ascii="Century Gothic" w:hAnsi="Century Gothic" w:cs="Calibri"/>
              </w:rPr>
            </w:pPr>
          </w:p>
          <w:p w14:paraId="580CFDC4" w14:textId="24B4FB20" w:rsidR="00332082" w:rsidRDefault="00332082" w:rsidP="00D94427">
            <w:pPr>
              <w:rPr>
                <w:rFonts w:ascii="Century Gothic" w:hAnsi="Century Gothic" w:cs="Calibri"/>
              </w:rPr>
            </w:pPr>
            <w:r>
              <w:rPr>
                <w:rFonts w:ascii="Century Gothic" w:hAnsi="Century Gothic" w:cs="Calibri"/>
                <w:color w:val="000000"/>
              </w:rPr>
              <w:t>Consider a</w:t>
            </w:r>
            <w:r w:rsidRPr="00A76C93">
              <w:rPr>
                <w:rFonts w:ascii="Century Gothic" w:hAnsi="Century Gothic" w:cs="Calibri"/>
                <w:color w:val="000000"/>
              </w:rPr>
              <w:t>mend</w:t>
            </w:r>
            <w:r>
              <w:rPr>
                <w:rFonts w:ascii="Century Gothic" w:hAnsi="Century Gothic" w:cs="Calibri"/>
                <w:color w:val="000000"/>
              </w:rPr>
              <w:t>ing</w:t>
            </w:r>
            <w:r w:rsidR="00B6437E" w:rsidRPr="00A76C93">
              <w:rPr>
                <w:rFonts w:ascii="Century Gothic" w:hAnsi="Century Gothic" w:cs="Calibri"/>
              </w:rPr>
              <w:t xml:space="preserve"> lines 168-175 to read: </w:t>
            </w:r>
          </w:p>
          <w:p w14:paraId="3CBC704D" w14:textId="77777777" w:rsidR="00332082" w:rsidRDefault="00332082" w:rsidP="00D94427">
            <w:pPr>
              <w:rPr>
                <w:rFonts w:ascii="Century Gothic" w:hAnsi="Century Gothic" w:cs="Calibri"/>
              </w:rPr>
            </w:pPr>
          </w:p>
          <w:p w14:paraId="391D13F3" w14:textId="7000728B" w:rsidR="00B6437E" w:rsidRDefault="00B6437E" w:rsidP="00D94427">
            <w:pPr>
              <w:rPr>
                <w:rFonts w:ascii="Century Gothic" w:hAnsi="Century Gothic" w:cs="Calibri"/>
              </w:rPr>
            </w:pPr>
            <w:r w:rsidRPr="00A76C93">
              <w:rPr>
                <w:rFonts w:ascii="Century Gothic" w:hAnsi="Century Gothic" w:cs="Calibri"/>
              </w:rPr>
              <w:t xml:space="preserve">“All non-registered healthcare professionals (e.g. hearing and health care assistants) must be supervised by a registered healthcare professional for whom the procedure being undertaken is within their scope of practice. All non-registrants must also undergo the required training and </w:t>
            </w:r>
            <w:r w:rsidRPr="00A76C93">
              <w:rPr>
                <w:rFonts w:ascii="Century Gothic" w:hAnsi="Century Gothic" w:cs="Calibri"/>
              </w:rPr>
              <w:lastRenderedPageBreak/>
              <w:t xml:space="preserve">understand clinical governance arrangements that are in place to ensure safe and effective care </w:t>
            </w:r>
            <w:r w:rsidR="00E140FC" w:rsidRPr="00A76C93">
              <w:rPr>
                <w:rFonts w:ascii="Century Gothic" w:hAnsi="Century Gothic" w:cs="Calibri"/>
              </w:rPr>
              <w:t>is</w:t>
            </w:r>
            <w:r w:rsidR="00E140FC">
              <w:rPr>
                <w:rFonts w:ascii="Century Gothic" w:hAnsi="Century Gothic" w:cs="Calibri"/>
              </w:rPr>
              <w:t xml:space="preserve"> </w:t>
            </w:r>
            <w:r w:rsidR="00E140FC" w:rsidRPr="00A76C93">
              <w:rPr>
                <w:rFonts w:ascii="Century Gothic" w:hAnsi="Century Gothic" w:cs="Calibri"/>
              </w:rPr>
              <w:t>always delivered</w:t>
            </w:r>
            <w:r w:rsidR="00E140FC">
              <w:rPr>
                <w:rFonts w:ascii="Century Gothic" w:hAnsi="Century Gothic" w:cs="Calibri"/>
              </w:rPr>
              <w:t>”.</w:t>
            </w:r>
          </w:p>
          <w:p w14:paraId="07B06996" w14:textId="659FA8D6" w:rsidR="000705F3" w:rsidRPr="00A76C93" w:rsidRDefault="000705F3" w:rsidP="00D94427">
            <w:pPr>
              <w:rPr>
                <w:rFonts w:ascii="Century Gothic" w:hAnsi="Century Gothic" w:cs="Calibri"/>
                <w:color w:val="000000"/>
              </w:rPr>
            </w:pPr>
          </w:p>
        </w:tc>
      </w:tr>
      <w:tr w:rsidR="004D5625" w:rsidRPr="00A76C93" w14:paraId="53AF5207" w14:textId="77777777" w:rsidTr="009D4452">
        <w:trPr>
          <w:trHeight w:val="285"/>
        </w:trPr>
        <w:tc>
          <w:tcPr>
            <w:tcW w:w="1134" w:type="dxa"/>
            <w:tcBorders>
              <w:top w:val="nil"/>
              <w:left w:val="single" w:sz="4" w:space="0" w:color="auto"/>
              <w:bottom w:val="single" w:sz="4" w:space="0" w:color="auto"/>
              <w:right w:val="single" w:sz="4" w:space="0" w:color="auto"/>
            </w:tcBorders>
            <w:shd w:val="clear" w:color="auto" w:fill="auto"/>
            <w:noWrap/>
          </w:tcPr>
          <w:p w14:paraId="62D6E740" w14:textId="21048805" w:rsidR="004D5625" w:rsidRPr="00A76C93" w:rsidRDefault="000174AE" w:rsidP="00D94427">
            <w:pPr>
              <w:rPr>
                <w:rFonts w:ascii="Century Gothic" w:hAnsi="Century Gothic" w:cs="Calibri"/>
              </w:rPr>
            </w:pPr>
            <w:r w:rsidRPr="00A76C93">
              <w:rPr>
                <w:rFonts w:ascii="Century Gothic" w:hAnsi="Century Gothic" w:cs="Calibri"/>
              </w:rPr>
              <w:lastRenderedPageBreak/>
              <w:t>2.2.5</w:t>
            </w:r>
          </w:p>
        </w:tc>
        <w:tc>
          <w:tcPr>
            <w:tcW w:w="856" w:type="dxa"/>
            <w:tcBorders>
              <w:top w:val="nil"/>
              <w:left w:val="nil"/>
              <w:bottom w:val="single" w:sz="4" w:space="0" w:color="auto"/>
              <w:right w:val="single" w:sz="4" w:space="0" w:color="auto"/>
            </w:tcBorders>
            <w:shd w:val="clear" w:color="auto" w:fill="auto"/>
            <w:noWrap/>
          </w:tcPr>
          <w:p w14:paraId="6972745D" w14:textId="4EBAE486" w:rsidR="004D5625" w:rsidRPr="00A76C93" w:rsidRDefault="000174AE" w:rsidP="00D94427">
            <w:pPr>
              <w:rPr>
                <w:rFonts w:ascii="Century Gothic" w:hAnsi="Century Gothic" w:cs="Calibri"/>
              </w:rPr>
            </w:pPr>
            <w:r w:rsidRPr="00A76C93">
              <w:rPr>
                <w:rFonts w:ascii="Century Gothic" w:hAnsi="Century Gothic" w:cs="Calibri"/>
              </w:rPr>
              <w:t>189-203</w:t>
            </w:r>
          </w:p>
        </w:tc>
        <w:tc>
          <w:tcPr>
            <w:tcW w:w="1419" w:type="dxa"/>
            <w:tcBorders>
              <w:top w:val="nil"/>
              <w:left w:val="nil"/>
              <w:bottom w:val="single" w:sz="4" w:space="0" w:color="auto"/>
              <w:right w:val="single" w:sz="4" w:space="0" w:color="auto"/>
            </w:tcBorders>
            <w:shd w:val="clear" w:color="auto" w:fill="auto"/>
          </w:tcPr>
          <w:p w14:paraId="66E70620" w14:textId="634BD5C5" w:rsidR="004D5625" w:rsidRPr="00A76C93" w:rsidRDefault="000174AE" w:rsidP="00D94427">
            <w:pPr>
              <w:rPr>
                <w:rFonts w:ascii="Century Gothic" w:hAnsi="Century Gothic" w:cs="Calibri"/>
              </w:rPr>
            </w:pPr>
            <w:r w:rsidRPr="00A76C93">
              <w:rPr>
                <w:rFonts w:ascii="Century Gothic" w:hAnsi="Century Gothic" w:cs="Calibri"/>
              </w:rPr>
              <w:t xml:space="preserve">Fitness to practise </w:t>
            </w:r>
          </w:p>
        </w:tc>
        <w:tc>
          <w:tcPr>
            <w:tcW w:w="5805" w:type="dxa"/>
            <w:tcBorders>
              <w:top w:val="nil"/>
              <w:left w:val="nil"/>
              <w:bottom w:val="single" w:sz="4" w:space="0" w:color="auto"/>
              <w:right w:val="single" w:sz="4" w:space="0" w:color="auto"/>
            </w:tcBorders>
            <w:shd w:val="clear" w:color="auto" w:fill="auto"/>
          </w:tcPr>
          <w:p w14:paraId="00F78342" w14:textId="135AA53D" w:rsidR="000174AE" w:rsidRPr="00A76C93" w:rsidRDefault="000174AE" w:rsidP="00D94427">
            <w:pPr>
              <w:rPr>
                <w:rFonts w:ascii="Century Gothic" w:hAnsi="Century Gothic" w:cs="Calibri"/>
              </w:rPr>
            </w:pPr>
            <w:r w:rsidRPr="00A76C93">
              <w:rPr>
                <w:rFonts w:ascii="Century Gothic" w:hAnsi="Century Gothic" w:cs="Calibri"/>
              </w:rPr>
              <w:t xml:space="preserve">It is unusual, especially when guidance is targeted at wide range of healthcare professionals, to be so specific about fitness to practise considerations. The risk is that </w:t>
            </w:r>
            <w:r w:rsidR="00B819C3">
              <w:rPr>
                <w:rFonts w:ascii="Century Gothic" w:hAnsi="Century Gothic" w:cs="Calibri"/>
              </w:rPr>
              <w:t>this</w:t>
            </w:r>
            <w:r w:rsidRPr="00A76C93">
              <w:rPr>
                <w:rFonts w:ascii="Century Gothic" w:hAnsi="Century Gothic" w:cs="Calibri"/>
              </w:rPr>
              <w:t xml:space="preserve"> </w:t>
            </w:r>
            <w:r w:rsidR="003D1424" w:rsidRPr="00A76C93">
              <w:rPr>
                <w:rFonts w:ascii="Century Gothic" w:hAnsi="Century Gothic" w:cs="Calibri"/>
              </w:rPr>
              <w:t>might miss key</w:t>
            </w:r>
            <w:r w:rsidRPr="00A76C93">
              <w:rPr>
                <w:rFonts w:ascii="Century Gothic" w:hAnsi="Century Gothic" w:cs="Calibri"/>
              </w:rPr>
              <w:t xml:space="preserve"> considerations, including ensuring people work within their scope of practice, hav</w:t>
            </w:r>
            <w:r w:rsidR="003D1424" w:rsidRPr="00A76C93">
              <w:rPr>
                <w:rFonts w:ascii="Century Gothic" w:hAnsi="Century Gothic" w:cs="Calibri"/>
              </w:rPr>
              <w:t>e</w:t>
            </w:r>
            <w:r w:rsidRPr="00A76C93">
              <w:rPr>
                <w:rFonts w:ascii="Century Gothic" w:hAnsi="Century Gothic" w:cs="Calibri"/>
              </w:rPr>
              <w:t xml:space="preserve"> insurance in place, understand duty of candour etc. </w:t>
            </w:r>
          </w:p>
          <w:p w14:paraId="7373029C" w14:textId="1E380021" w:rsidR="000174AE" w:rsidRPr="00A76C93" w:rsidRDefault="000174AE" w:rsidP="00D94427">
            <w:pPr>
              <w:rPr>
                <w:rFonts w:ascii="Century Gothic" w:hAnsi="Century Gothic" w:cs="Calibri"/>
              </w:rPr>
            </w:pPr>
          </w:p>
          <w:p w14:paraId="6569A35D" w14:textId="0B94EF83" w:rsidR="000174AE" w:rsidRPr="00A76C93" w:rsidRDefault="003D1424" w:rsidP="00D94427">
            <w:pPr>
              <w:rPr>
                <w:rFonts w:ascii="Century Gothic" w:hAnsi="Century Gothic" w:cs="Calibri"/>
              </w:rPr>
            </w:pPr>
            <w:r w:rsidRPr="00A76C93">
              <w:rPr>
                <w:rFonts w:ascii="Century Gothic" w:hAnsi="Century Gothic" w:cs="Calibri"/>
              </w:rPr>
              <w:t xml:space="preserve">In our view </w:t>
            </w:r>
            <w:r w:rsidR="000174AE" w:rsidRPr="00A76C93">
              <w:rPr>
                <w:rFonts w:ascii="Century Gothic" w:hAnsi="Century Gothic" w:cs="Calibri"/>
              </w:rPr>
              <w:t xml:space="preserve">it </w:t>
            </w:r>
            <w:r w:rsidRPr="00A76C93">
              <w:rPr>
                <w:rFonts w:ascii="Century Gothic" w:hAnsi="Century Gothic" w:cs="Calibri"/>
              </w:rPr>
              <w:t xml:space="preserve">might be more helpful to </w:t>
            </w:r>
            <w:r w:rsidR="000174AE" w:rsidRPr="00A76C93">
              <w:rPr>
                <w:rFonts w:ascii="Century Gothic" w:hAnsi="Century Gothic" w:cs="Calibri"/>
              </w:rPr>
              <w:t>set out the importance of adhering to the standards set by the applicable statutory regulator</w:t>
            </w:r>
            <w:r w:rsidRPr="00A76C93">
              <w:rPr>
                <w:rFonts w:ascii="Century Gothic" w:hAnsi="Century Gothic" w:cs="Calibri"/>
              </w:rPr>
              <w:t>.</w:t>
            </w:r>
            <w:r w:rsidR="000174AE" w:rsidRPr="00A76C93">
              <w:rPr>
                <w:rFonts w:ascii="Century Gothic" w:hAnsi="Century Gothic" w:cs="Calibri"/>
              </w:rPr>
              <w:t xml:space="preserve"> For </w:t>
            </w:r>
            <w:r w:rsidRPr="00A76C93">
              <w:rPr>
                <w:rFonts w:ascii="Century Gothic" w:hAnsi="Century Gothic" w:cs="Calibri"/>
              </w:rPr>
              <w:t>example,</w:t>
            </w:r>
            <w:r w:rsidR="000174AE" w:rsidRPr="00A76C93">
              <w:rPr>
                <w:rFonts w:ascii="Century Gothic" w:hAnsi="Century Gothic" w:cs="Calibri"/>
              </w:rPr>
              <w:t xml:space="preserve"> the HCPC for most audiologists (as the RCCP also refer to HCPC standards), NMC for nurses and GMC for all medics (GP, AVM and ENT). </w:t>
            </w:r>
            <w:r w:rsidRPr="00A76C93">
              <w:rPr>
                <w:rFonts w:ascii="Century Gothic" w:hAnsi="Century Gothic" w:cs="Calibri"/>
              </w:rPr>
              <w:t xml:space="preserve"> </w:t>
            </w:r>
          </w:p>
          <w:p w14:paraId="47E2DA82" w14:textId="12FCA2A0" w:rsidR="000174AE" w:rsidRPr="00A76C93" w:rsidRDefault="000174AE" w:rsidP="00D94427">
            <w:pPr>
              <w:rPr>
                <w:rFonts w:ascii="Century Gothic" w:hAnsi="Century Gothic" w:cs="Calibri"/>
              </w:rPr>
            </w:pPr>
          </w:p>
        </w:tc>
        <w:tc>
          <w:tcPr>
            <w:tcW w:w="4678" w:type="dxa"/>
            <w:tcBorders>
              <w:top w:val="nil"/>
              <w:left w:val="nil"/>
              <w:bottom w:val="single" w:sz="4" w:space="0" w:color="auto"/>
              <w:right w:val="single" w:sz="4" w:space="0" w:color="auto"/>
            </w:tcBorders>
            <w:shd w:val="clear" w:color="auto" w:fill="auto"/>
            <w:noWrap/>
          </w:tcPr>
          <w:p w14:paraId="64E581BE" w14:textId="114D7E77" w:rsidR="004D5625" w:rsidRPr="00A76C93" w:rsidRDefault="000174AE" w:rsidP="00D94427">
            <w:pPr>
              <w:rPr>
                <w:rFonts w:ascii="Century Gothic" w:hAnsi="Century Gothic" w:cs="Calibri"/>
                <w:color w:val="000000"/>
              </w:rPr>
            </w:pPr>
            <w:r w:rsidRPr="00A76C93">
              <w:rPr>
                <w:rFonts w:ascii="Century Gothic" w:hAnsi="Century Gothic" w:cs="Calibri"/>
                <w:color w:val="000000"/>
              </w:rPr>
              <w:t>Consider rewording section</w:t>
            </w:r>
            <w:r w:rsidR="003D1424" w:rsidRPr="00A76C93">
              <w:rPr>
                <w:rFonts w:ascii="Century Gothic" w:hAnsi="Century Gothic" w:cs="Calibri"/>
                <w:color w:val="000000"/>
              </w:rPr>
              <w:t xml:space="preserve">. </w:t>
            </w:r>
          </w:p>
        </w:tc>
      </w:tr>
      <w:tr w:rsidR="000174AE" w:rsidRPr="00A76C93" w14:paraId="17455D54" w14:textId="77777777" w:rsidTr="009D4452">
        <w:trPr>
          <w:trHeight w:val="285"/>
        </w:trPr>
        <w:tc>
          <w:tcPr>
            <w:tcW w:w="1134" w:type="dxa"/>
            <w:tcBorders>
              <w:top w:val="nil"/>
              <w:left w:val="single" w:sz="4" w:space="0" w:color="auto"/>
              <w:bottom w:val="single" w:sz="4" w:space="0" w:color="auto"/>
              <w:right w:val="single" w:sz="4" w:space="0" w:color="auto"/>
            </w:tcBorders>
            <w:shd w:val="clear" w:color="auto" w:fill="auto"/>
            <w:noWrap/>
          </w:tcPr>
          <w:p w14:paraId="389B6B08" w14:textId="21453627" w:rsidR="000174AE" w:rsidRPr="00A76C93" w:rsidRDefault="000174AE" w:rsidP="000174AE">
            <w:pPr>
              <w:rPr>
                <w:rFonts w:ascii="Century Gothic" w:hAnsi="Century Gothic" w:cs="Calibri"/>
              </w:rPr>
            </w:pPr>
            <w:r w:rsidRPr="00A76C93">
              <w:rPr>
                <w:rFonts w:ascii="Century Gothic" w:hAnsi="Century Gothic" w:cs="Calibri"/>
              </w:rPr>
              <w:t>All</w:t>
            </w:r>
          </w:p>
        </w:tc>
        <w:tc>
          <w:tcPr>
            <w:tcW w:w="856" w:type="dxa"/>
            <w:tcBorders>
              <w:top w:val="nil"/>
              <w:left w:val="nil"/>
              <w:bottom w:val="single" w:sz="4" w:space="0" w:color="auto"/>
              <w:right w:val="single" w:sz="4" w:space="0" w:color="auto"/>
            </w:tcBorders>
            <w:shd w:val="clear" w:color="auto" w:fill="auto"/>
            <w:noWrap/>
          </w:tcPr>
          <w:p w14:paraId="3D65E633" w14:textId="773B3076" w:rsidR="000174AE" w:rsidRPr="00A76C93" w:rsidRDefault="000174AE" w:rsidP="000174AE">
            <w:pPr>
              <w:rPr>
                <w:rFonts w:ascii="Century Gothic" w:hAnsi="Century Gothic" w:cs="Calibri"/>
              </w:rPr>
            </w:pPr>
            <w:r w:rsidRPr="00A76C93">
              <w:rPr>
                <w:rFonts w:ascii="Century Gothic" w:hAnsi="Century Gothic" w:cs="Calibri"/>
              </w:rPr>
              <w:t>All</w:t>
            </w:r>
          </w:p>
        </w:tc>
        <w:tc>
          <w:tcPr>
            <w:tcW w:w="1419" w:type="dxa"/>
            <w:tcBorders>
              <w:top w:val="nil"/>
              <w:left w:val="nil"/>
              <w:bottom w:val="single" w:sz="4" w:space="0" w:color="auto"/>
              <w:right w:val="single" w:sz="4" w:space="0" w:color="auto"/>
            </w:tcBorders>
            <w:shd w:val="clear" w:color="auto" w:fill="auto"/>
          </w:tcPr>
          <w:p w14:paraId="093D19A2" w14:textId="34BF04D8" w:rsidR="000174AE" w:rsidRPr="00A76C93" w:rsidRDefault="000174AE" w:rsidP="000174AE">
            <w:pPr>
              <w:rPr>
                <w:rFonts w:ascii="Century Gothic" w:hAnsi="Century Gothic" w:cs="Calibri"/>
              </w:rPr>
            </w:pPr>
            <w:r w:rsidRPr="00A76C93">
              <w:rPr>
                <w:rFonts w:ascii="Century Gothic" w:hAnsi="Century Gothic" w:cs="Calibri"/>
              </w:rPr>
              <w:t>General feedback</w:t>
            </w:r>
          </w:p>
        </w:tc>
        <w:tc>
          <w:tcPr>
            <w:tcW w:w="5805" w:type="dxa"/>
            <w:tcBorders>
              <w:top w:val="nil"/>
              <w:left w:val="nil"/>
              <w:bottom w:val="single" w:sz="4" w:space="0" w:color="auto"/>
              <w:right w:val="single" w:sz="4" w:space="0" w:color="auto"/>
            </w:tcBorders>
            <w:shd w:val="clear" w:color="auto" w:fill="auto"/>
          </w:tcPr>
          <w:p w14:paraId="1F29B48D" w14:textId="77777777" w:rsidR="000174AE" w:rsidRPr="00A76C93" w:rsidRDefault="000174AE" w:rsidP="000174AE">
            <w:pPr>
              <w:rPr>
                <w:rFonts w:ascii="Century Gothic" w:hAnsi="Century Gothic" w:cs="Calibri"/>
              </w:rPr>
            </w:pPr>
            <w:r w:rsidRPr="00A76C93">
              <w:rPr>
                <w:rFonts w:ascii="Century Gothic" w:hAnsi="Century Gothic" w:cs="Calibri"/>
              </w:rPr>
              <w:t>Professionals are referred to differently throughout the draft guidance – e.g.</w:t>
            </w:r>
          </w:p>
          <w:p w14:paraId="1E005626" w14:textId="77777777" w:rsidR="000174AE" w:rsidRPr="00A76C93" w:rsidRDefault="000174AE" w:rsidP="000174AE">
            <w:pPr>
              <w:rPr>
                <w:rFonts w:ascii="Century Gothic" w:hAnsi="Century Gothic" w:cs="Calibri"/>
              </w:rPr>
            </w:pPr>
          </w:p>
          <w:p w14:paraId="0DF5A9E1" w14:textId="77777777" w:rsidR="000174AE" w:rsidRPr="00A76C93" w:rsidRDefault="000174AE" w:rsidP="000174AE">
            <w:pPr>
              <w:pStyle w:val="ListParagraph"/>
              <w:numPr>
                <w:ilvl w:val="0"/>
                <w:numId w:val="3"/>
              </w:numPr>
              <w:rPr>
                <w:rFonts w:ascii="Century Gothic" w:hAnsi="Century Gothic" w:cs="Calibri"/>
              </w:rPr>
            </w:pPr>
            <w:r w:rsidRPr="00A76C93">
              <w:rPr>
                <w:rFonts w:ascii="Century Gothic" w:hAnsi="Century Gothic" w:cs="Calibri"/>
              </w:rPr>
              <w:t>Hearing care professionals (line 187)</w:t>
            </w:r>
          </w:p>
          <w:p w14:paraId="2482C773" w14:textId="04EB56F2" w:rsidR="000174AE" w:rsidRPr="00A76C93" w:rsidRDefault="007D2656" w:rsidP="000174AE">
            <w:pPr>
              <w:pStyle w:val="ListParagraph"/>
              <w:numPr>
                <w:ilvl w:val="0"/>
                <w:numId w:val="3"/>
              </w:numPr>
              <w:rPr>
                <w:rFonts w:ascii="Century Gothic" w:hAnsi="Century Gothic" w:cs="Calibri"/>
              </w:rPr>
            </w:pPr>
            <w:r w:rsidRPr="00A76C93">
              <w:rPr>
                <w:rFonts w:ascii="Century Gothic" w:hAnsi="Century Gothic" w:cs="Calibri"/>
              </w:rPr>
              <w:t>Aural care professional (line 593)</w:t>
            </w:r>
          </w:p>
          <w:p w14:paraId="53734460" w14:textId="6C25B8DC" w:rsidR="000C7112" w:rsidRPr="00A76C93" w:rsidRDefault="000C7112" w:rsidP="000174AE">
            <w:pPr>
              <w:pStyle w:val="ListParagraph"/>
              <w:numPr>
                <w:ilvl w:val="0"/>
                <w:numId w:val="3"/>
              </w:numPr>
              <w:rPr>
                <w:rFonts w:ascii="Century Gothic" w:hAnsi="Century Gothic" w:cs="Calibri"/>
              </w:rPr>
            </w:pPr>
            <w:r w:rsidRPr="00A76C93">
              <w:rPr>
                <w:rFonts w:ascii="Century Gothic" w:hAnsi="Century Gothic" w:cs="Calibri"/>
              </w:rPr>
              <w:t>Ear care professional (line 723)</w:t>
            </w:r>
          </w:p>
          <w:p w14:paraId="3DD83ED5" w14:textId="77777777" w:rsidR="000174AE" w:rsidRPr="00A76C93" w:rsidRDefault="000174AE" w:rsidP="000174AE">
            <w:pPr>
              <w:rPr>
                <w:rFonts w:ascii="Century Gothic" w:hAnsi="Century Gothic" w:cs="Calibri"/>
              </w:rPr>
            </w:pPr>
          </w:p>
          <w:p w14:paraId="6AE0035F" w14:textId="2FBA7BF6" w:rsidR="001C5483" w:rsidRPr="00A76C93" w:rsidRDefault="001C5483" w:rsidP="000174AE">
            <w:pPr>
              <w:rPr>
                <w:rFonts w:ascii="Century Gothic" w:hAnsi="Century Gothic" w:cs="Calibri"/>
              </w:rPr>
            </w:pPr>
            <w:r w:rsidRPr="00A76C93">
              <w:rPr>
                <w:rFonts w:ascii="Century Gothic" w:hAnsi="Century Gothic" w:cs="Calibri"/>
              </w:rPr>
              <w:lastRenderedPageBreak/>
              <w:t>This is particularly problematic in the consent section where variation might be confusing for patients signing the form.</w:t>
            </w:r>
          </w:p>
          <w:p w14:paraId="080D0CEF" w14:textId="54C37EB0" w:rsidR="001C5483" w:rsidRPr="00A76C93" w:rsidRDefault="001C5483" w:rsidP="000174AE">
            <w:pPr>
              <w:rPr>
                <w:rFonts w:ascii="Century Gothic" w:hAnsi="Century Gothic" w:cs="Calibri"/>
              </w:rPr>
            </w:pPr>
          </w:p>
        </w:tc>
        <w:tc>
          <w:tcPr>
            <w:tcW w:w="4678" w:type="dxa"/>
            <w:tcBorders>
              <w:top w:val="nil"/>
              <w:left w:val="nil"/>
              <w:bottom w:val="single" w:sz="4" w:space="0" w:color="auto"/>
              <w:right w:val="single" w:sz="4" w:space="0" w:color="auto"/>
            </w:tcBorders>
            <w:shd w:val="clear" w:color="auto" w:fill="auto"/>
            <w:noWrap/>
          </w:tcPr>
          <w:p w14:paraId="77B5DF53" w14:textId="4C9390C0" w:rsidR="000174AE" w:rsidRPr="00A76C93" w:rsidRDefault="00665867" w:rsidP="000174AE">
            <w:pPr>
              <w:rPr>
                <w:rFonts w:ascii="Century Gothic" w:hAnsi="Century Gothic" w:cs="Calibri"/>
                <w:color w:val="000000"/>
              </w:rPr>
            </w:pPr>
            <w:r>
              <w:rPr>
                <w:rFonts w:ascii="Century Gothic" w:hAnsi="Century Gothic" w:cs="Calibri"/>
                <w:color w:val="000000"/>
              </w:rPr>
              <w:lastRenderedPageBreak/>
              <w:t>Choose and b</w:t>
            </w:r>
            <w:r w:rsidR="001C5483" w:rsidRPr="00A76C93">
              <w:rPr>
                <w:rFonts w:ascii="Century Gothic" w:hAnsi="Century Gothic" w:cs="Calibri"/>
                <w:color w:val="000000"/>
              </w:rPr>
              <w:t xml:space="preserve">e consistent throughout. </w:t>
            </w:r>
          </w:p>
        </w:tc>
      </w:tr>
      <w:tr w:rsidR="000174AE" w:rsidRPr="00A76C93" w14:paraId="3D1B13B2" w14:textId="77777777" w:rsidTr="009D4452">
        <w:trPr>
          <w:trHeight w:val="285"/>
        </w:trPr>
        <w:tc>
          <w:tcPr>
            <w:tcW w:w="1134" w:type="dxa"/>
            <w:tcBorders>
              <w:top w:val="nil"/>
              <w:left w:val="single" w:sz="4" w:space="0" w:color="auto"/>
              <w:bottom w:val="single" w:sz="4" w:space="0" w:color="auto"/>
              <w:right w:val="single" w:sz="4" w:space="0" w:color="auto"/>
            </w:tcBorders>
            <w:shd w:val="clear" w:color="auto" w:fill="auto"/>
            <w:noWrap/>
          </w:tcPr>
          <w:p w14:paraId="50477B4E" w14:textId="7B08172C" w:rsidR="000174AE" w:rsidRPr="00A76C93" w:rsidRDefault="00EB4C79" w:rsidP="000174AE">
            <w:pPr>
              <w:rPr>
                <w:rFonts w:ascii="Century Gothic" w:hAnsi="Century Gothic" w:cs="Calibri"/>
              </w:rPr>
            </w:pPr>
            <w:r w:rsidRPr="00A76C93">
              <w:rPr>
                <w:rFonts w:ascii="Century Gothic" w:hAnsi="Century Gothic" w:cs="Calibri"/>
              </w:rPr>
              <w:t>4.1</w:t>
            </w:r>
          </w:p>
        </w:tc>
        <w:tc>
          <w:tcPr>
            <w:tcW w:w="856" w:type="dxa"/>
            <w:tcBorders>
              <w:top w:val="nil"/>
              <w:left w:val="nil"/>
              <w:bottom w:val="single" w:sz="4" w:space="0" w:color="auto"/>
              <w:right w:val="single" w:sz="4" w:space="0" w:color="auto"/>
            </w:tcBorders>
            <w:shd w:val="clear" w:color="auto" w:fill="auto"/>
            <w:noWrap/>
          </w:tcPr>
          <w:p w14:paraId="61523F51" w14:textId="342B98B1" w:rsidR="000174AE" w:rsidRPr="00A76C93" w:rsidRDefault="00EB4C79" w:rsidP="000174AE">
            <w:pPr>
              <w:rPr>
                <w:rFonts w:ascii="Century Gothic" w:hAnsi="Century Gothic" w:cs="Calibri"/>
              </w:rPr>
            </w:pPr>
            <w:r w:rsidRPr="00A76C93">
              <w:rPr>
                <w:rFonts w:ascii="Century Gothic" w:hAnsi="Century Gothic" w:cs="Calibri"/>
              </w:rPr>
              <w:t>All</w:t>
            </w:r>
          </w:p>
        </w:tc>
        <w:tc>
          <w:tcPr>
            <w:tcW w:w="1419" w:type="dxa"/>
            <w:tcBorders>
              <w:top w:val="nil"/>
              <w:left w:val="nil"/>
              <w:bottom w:val="single" w:sz="4" w:space="0" w:color="auto"/>
              <w:right w:val="single" w:sz="4" w:space="0" w:color="auto"/>
            </w:tcBorders>
            <w:shd w:val="clear" w:color="auto" w:fill="auto"/>
          </w:tcPr>
          <w:p w14:paraId="2B53FA6B" w14:textId="6619219A" w:rsidR="000174AE" w:rsidRPr="00A76C93" w:rsidRDefault="00EB4C79" w:rsidP="000174AE">
            <w:pPr>
              <w:rPr>
                <w:rFonts w:ascii="Century Gothic" w:hAnsi="Century Gothic" w:cs="Calibri"/>
              </w:rPr>
            </w:pPr>
            <w:r w:rsidRPr="00A76C93">
              <w:rPr>
                <w:rFonts w:ascii="Century Gothic" w:hAnsi="Century Gothic" w:cs="Calibri"/>
              </w:rPr>
              <w:t>Use of “subject”</w:t>
            </w:r>
          </w:p>
        </w:tc>
        <w:tc>
          <w:tcPr>
            <w:tcW w:w="5805" w:type="dxa"/>
            <w:tcBorders>
              <w:top w:val="nil"/>
              <w:left w:val="nil"/>
              <w:bottom w:val="single" w:sz="4" w:space="0" w:color="auto"/>
              <w:right w:val="single" w:sz="4" w:space="0" w:color="auto"/>
            </w:tcBorders>
            <w:shd w:val="clear" w:color="auto" w:fill="auto"/>
          </w:tcPr>
          <w:p w14:paraId="13776B9C" w14:textId="18B1F9D6" w:rsidR="00EB4C79" w:rsidRPr="00A76C93" w:rsidRDefault="00EB4C79" w:rsidP="000174AE">
            <w:pPr>
              <w:rPr>
                <w:rFonts w:ascii="Century Gothic" w:hAnsi="Century Gothic" w:cs="Calibri"/>
              </w:rPr>
            </w:pPr>
            <w:r w:rsidRPr="00A76C93">
              <w:rPr>
                <w:rFonts w:ascii="Century Gothic" w:hAnsi="Century Gothic" w:cs="Calibri"/>
              </w:rPr>
              <w:t>We appreciate the difficulty</w:t>
            </w:r>
            <w:r w:rsidR="00E607C4" w:rsidRPr="00A76C93">
              <w:rPr>
                <w:rFonts w:ascii="Century Gothic" w:hAnsi="Century Gothic" w:cs="Calibri"/>
              </w:rPr>
              <w:t xml:space="preserve"> in the sector about the use of person, patient, client etc.</w:t>
            </w:r>
            <w:r w:rsidR="008A7648">
              <w:rPr>
                <w:rFonts w:ascii="Century Gothic" w:hAnsi="Century Gothic" w:cs="Calibri"/>
              </w:rPr>
              <w:t xml:space="preserve"> </w:t>
            </w:r>
            <w:r w:rsidRPr="00A76C93">
              <w:rPr>
                <w:rFonts w:ascii="Century Gothic" w:hAnsi="Century Gothic" w:cs="Calibri"/>
              </w:rPr>
              <w:t xml:space="preserve">The term </w:t>
            </w:r>
            <w:r w:rsidR="00E607C4" w:rsidRPr="00A76C93">
              <w:rPr>
                <w:rFonts w:ascii="Century Gothic" w:hAnsi="Century Gothic" w:cs="Calibri"/>
              </w:rPr>
              <w:t>“</w:t>
            </w:r>
            <w:r w:rsidRPr="00A76C93">
              <w:rPr>
                <w:rFonts w:ascii="Century Gothic" w:hAnsi="Century Gothic" w:cs="Calibri"/>
              </w:rPr>
              <w:t>subject</w:t>
            </w:r>
            <w:r w:rsidR="00E607C4" w:rsidRPr="00A76C93">
              <w:rPr>
                <w:rFonts w:ascii="Century Gothic" w:hAnsi="Century Gothic" w:cs="Calibri"/>
              </w:rPr>
              <w:t>”</w:t>
            </w:r>
            <w:r w:rsidRPr="00A76C93">
              <w:rPr>
                <w:rFonts w:ascii="Century Gothic" w:hAnsi="Century Gothic" w:cs="Calibri"/>
              </w:rPr>
              <w:t xml:space="preserve"> </w:t>
            </w:r>
            <w:r w:rsidR="008A7648">
              <w:rPr>
                <w:rFonts w:ascii="Century Gothic" w:hAnsi="Century Gothic" w:cs="Calibri"/>
              </w:rPr>
              <w:t xml:space="preserve">as a potential solution </w:t>
            </w:r>
            <w:r w:rsidRPr="00A76C93">
              <w:rPr>
                <w:rFonts w:ascii="Century Gothic" w:hAnsi="Century Gothic" w:cs="Calibri"/>
              </w:rPr>
              <w:t>however seems</w:t>
            </w:r>
            <w:r w:rsidR="00E607C4" w:rsidRPr="00A76C93">
              <w:rPr>
                <w:rFonts w:ascii="Century Gothic" w:hAnsi="Century Gothic" w:cs="Calibri"/>
              </w:rPr>
              <w:t xml:space="preserve"> outdated and </w:t>
            </w:r>
            <w:r w:rsidR="008A7648">
              <w:rPr>
                <w:rFonts w:ascii="Century Gothic" w:hAnsi="Century Gothic" w:cs="Calibri"/>
              </w:rPr>
              <w:t xml:space="preserve">does </w:t>
            </w:r>
            <w:r w:rsidR="00E607C4" w:rsidRPr="00A76C93">
              <w:rPr>
                <w:rFonts w:ascii="Century Gothic" w:hAnsi="Century Gothic" w:cs="Calibri"/>
              </w:rPr>
              <w:t xml:space="preserve">not sit well in a health system that is </w:t>
            </w:r>
            <w:r w:rsidR="008A7648">
              <w:rPr>
                <w:rFonts w:ascii="Century Gothic" w:hAnsi="Century Gothic" w:cs="Calibri"/>
              </w:rPr>
              <w:t xml:space="preserve">service </w:t>
            </w:r>
            <w:r w:rsidR="00E607C4" w:rsidRPr="00A76C93">
              <w:rPr>
                <w:rFonts w:ascii="Century Gothic" w:hAnsi="Century Gothic" w:cs="Calibri"/>
              </w:rPr>
              <w:t>user focussed, and in which</w:t>
            </w:r>
            <w:r w:rsidRPr="00A76C93">
              <w:rPr>
                <w:rFonts w:ascii="Century Gothic" w:hAnsi="Century Gothic" w:cs="Calibri"/>
              </w:rPr>
              <w:t xml:space="preserve"> service users, rightly,</w:t>
            </w:r>
            <w:r w:rsidR="00E607C4" w:rsidRPr="00A76C93">
              <w:rPr>
                <w:rFonts w:ascii="Century Gothic" w:hAnsi="Century Gothic" w:cs="Calibri"/>
              </w:rPr>
              <w:t xml:space="preserve"> should </w:t>
            </w:r>
            <w:proofErr w:type="gramStart"/>
            <w:r w:rsidR="00E607C4" w:rsidRPr="00A76C93">
              <w:rPr>
                <w:rFonts w:ascii="Century Gothic" w:hAnsi="Century Gothic" w:cs="Calibri"/>
              </w:rPr>
              <w:t>be seen</w:t>
            </w:r>
            <w:r w:rsidRPr="00A76C93">
              <w:rPr>
                <w:rFonts w:ascii="Century Gothic" w:hAnsi="Century Gothic" w:cs="Calibri"/>
              </w:rPr>
              <w:t xml:space="preserve"> as</w:t>
            </w:r>
            <w:proofErr w:type="gramEnd"/>
            <w:r w:rsidRPr="00A76C93">
              <w:rPr>
                <w:rFonts w:ascii="Century Gothic" w:hAnsi="Century Gothic" w:cs="Calibri"/>
              </w:rPr>
              <w:t xml:space="preserve"> equal</w:t>
            </w:r>
            <w:r w:rsidR="00E607C4" w:rsidRPr="00A76C93">
              <w:rPr>
                <w:rFonts w:ascii="Century Gothic" w:hAnsi="Century Gothic" w:cs="Calibri"/>
              </w:rPr>
              <w:t>s</w:t>
            </w:r>
            <w:r w:rsidRPr="00A76C93">
              <w:rPr>
                <w:rFonts w:ascii="Century Gothic" w:hAnsi="Century Gothic" w:cs="Calibri"/>
              </w:rPr>
              <w:t xml:space="preserve">. </w:t>
            </w:r>
          </w:p>
          <w:p w14:paraId="1C602E07" w14:textId="77777777" w:rsidR="00EB4C79" w:rsidRPr="00A76C93" w:rsidRDefault="00EB4C79" w:rsidP="000174AE">
            <w:pPr>
              <w:rPr>
                <w:rFonts w:ascii="Century Gothic" w:hAnsi="Century Gothic" w:cs="Calibri"/>
              </w:rPr>
            </w:pPr>
          </w:p>
          <w:p w14:paraId="659E84A1" w14:textId="7ECA4C7F" w:rsidR="00EB4C79" w:rsidRPr="00A76C93" w:rsidRDefault="00EB4C79" w:rsidP="000174AE">
            <w:pPr>
              <w:rPr>
                <w:rFonts w:ascii="Century Gothic" w:hAnsi="Century Gothic" w:cs="Calibri"/>
              </w:rPr>
            </w:pPr>
            <w:r w:rsidRPr="00A76C93">
              <w:rPr>
                <w:rFonts w:ascii="Century Gothic" w:hAnsi="Century Gothic" w:cs="Calibri"/>
              </w:rPr>
              <w:t xml:space="preserve">Could subject therefore be replaced with adult? Given the scope of the guidance (subject to being corrected to align with the NICE guideline as per our feedback above) is for adults. </w:t>
            </w:r>
          </w:p>
          <w:p w14:paraId="4FBA953D" w14:textId="1C4386FE" w:rsidR="00E607C4" w:rsidRPr="00A76C93" w:rsidRDefault="00E607C4" w:rsidP="000174AE">
            <w:pPr>
              <w:rPr>
                <w:rFonts w:ascii="Century Gothic" w:hAnsi="Century Gothic" w:cs="Calibri"/>
              </w:rPr>
            </w:pPr>
          </w:p>
        </w:tc>
        <w:tc>
          <w:tcPr>
            <w:tcW w:w="4678" w:type="dxa"/>
            <w:tcBorders>
              <w:top w:val="nil"/>
              <w:left w:val="nil"/>
              <w:bottom w:val="single" w:sz="4" w:space="0" w:color="auto"/>
              <w:right w:val="single" w:sz="4" w:space="0" w:color="auto"/>
            </w:tcBorders>
            <w:shd w:val="clear" w:color="auto" w:fill="auto"/>
            <w:noWrap/>
          </w:tcPr>
          <w:p w14:paraId="43FC321B" w14:textId="795EA734" w:rsidR="000174AE" w:rsidRPr="00A76C93" w:rsidRDefault="00EB4C79" w:rsidP="000174AE">
            <w:pPr>
              <w:rPr>
                <w:rFonts w:ascii="Century Gothic" w:hAnsi="Century Gothic" w:cs="Calibri"/>
                <w:color w:val="000000"/>
              </w:rPr>
            </w:pPr>
            <w:r w:rsidRPr="00A76C93">
              <w:rPr>
                <w:rFonts w:ascii="Century Gothic" w:hAnsi="Century Gothic" w:cs="Calibri"/>
                <w:color w:val="000000"/>
              </w:rPr>
              <w:t>Replace “subject” with “adult”.</w:t>
            </w:r>
          </w:p>
        </w:tc>
      </w:tr>
      <w:tr w:rsidR="000174AE" w:rsidRPr="00A76C93" w14:paraId="52C26DD9" w14:textId="77777777" w:rsidTr="009D4452">
        <w:trPr>
          <w:trHeight w:val="285"/>
        </w:trPr>
        <w:tc>
          <w:tcPr>
            <w:tcW w:w="1134" w:type="dxa"/>
            <w:tcBorders>
              <w:top w:val="nil"/>
              <w:left w:val="single" w:sz="4" w:space="0" w:color="auto"/>
              <w:bottom w:val="single" w:sz="4" w:space="0" w:color="auto"/>
              <w:right w:val="single" w:sz="4" w:space="0" w:color="auto"/>
            </w:tcBorders>
            <w:shd w:val="clear" w:color="auto" w:fill="auto"/>
            <w:noWrap/>
          </w:tcPr>
          <w:p w14:paraId="63F932E5" w14:textId="6F521965" w:rsidR="000174AE" w:rsidRPr="00A76C93" w:rsidRDefault="007D2656" w:rsidP="000174AE">
            <w:pPr>
              <w:rPr>
                <w:rFonts w:ascii="Century Gothic" w:hAnsi="Century Gothic" w:cs="Calibri"/>
              </w:rPr>
            </w:pPr>
            <w:r w:rsidRPr="00A76C93">
              <w:rPr>
                <w:rFonts w:ascii="Century Gothic" w:hAnsi="Century Gothic" w:cs="Calibri"/>
              </w:rPr>
              <w:t>4.1</w:t>
            </w:r>
          </w:p>
        </w:tc>
        <w:tc>
          <w:tcPr>
            <w:tcW w:w="856" w:type="dxa"/>
            <w:tcBorders>
              <w:top w:val="nil"/>
              <w:left w:val="nil"/>
              <w:bottom w:val="single" w:sz="4" w:space="0" w:color="auto"/>
              <w:right w:val="single" w:sz="4" w:space="0" w:color="auto"/>
            </w:tcBorders>
            <w:shd w:val="clear" w:color="auto" w:fill="auto"/>
            <w:noWrap/>
          </w:tcPr>
          <w:p w14:paraId="6A2275D9" w14:textId="30FFC403" w:rsidR="000174AE" w:rsidRPr="00A76C93" w:rsidRDefault="007D2656" w:rsidP="000174AE">
            <w:pPr>
              <w:rPr>
                <w:rFonts w:ascii="Century Gothic" w:hAnsi="Century Gothic" w:cs="Calibri"/>
              </w:rPr>
            </w:pPr>
            <w:r w:rsidRPr="00A76C93">
              <w:rPr>
                <w:rFonts w:ascii="Century Gothic" w:hAnsi="Century Gothic" w:cs="Calibri"/>
              </w:rPr>
              <w:t>277</w:t>
            </w:r>
          </w:p>
        </w:tc>
        <w:tc>
          <w:tcPr>
            <w:tcW w:w="1419" w:type="dxa"/>
            <w:tcBorders>
              <w:top w:val="nil"/>
              <w:left w:val="nil"/>
              <w:bottom w:val="single" w:sz="4" w:space="0" w:color="auto"/>
              <w:right w:val="single" w:sz="4" w:space="0" w:color="auto"/>
            </w:tcBorders>
            <w:shd w:val="clear" w:color="auto" w:fill="auto"/>
          </w:tcPr>
          <w:p w14:paraId="470FECEF" w14:textId="7DEFB043" w:rsidR="000174AE" w:rsidRPr="00A76C93" w:rsidRDefault="003A257D" w:rsidP="000174AE">
            <w:pPr>
              <w:rPr>
                <w:rFonts w:ascii="Century Gothic" w:hAnsi="Century Gothic" w:cs="Calibri"/>
              </w:rPr>
            </w:pPr>
            <w:r w:rsidRPr="00A76C93">
              <w:rPr>
                <w:rFonts w:ascii="Century Gothic" w:hAnsi="Century Gothic" w:cs="Calibri"/>
              </w:rPr>
              <w:t xml:space="preserve">Consent </w:t>
            </w:r>
          </w:p>
        </w:tc>
        <w:tc>
          <w:tcPr>
            <w:tcW w:w="5805" w:type="dxa"/>
            <w:tcBorders>
              <w:top w:val="nil"/>
              <w:left w:val="nil"/>
              <w:bottom w:val="single" w:sz="4" w:space="0" w:color="auto"/>
              <w:right w:val="single" w:sz="4" w:space="0" w:color="auto"/>
            </w:tcBorders>
            <w:shd w:val="clear" w:color="auto" w:fill="auto"/>
          </w:tcPr>
          <w:p w14:paraId="42F9A66C" w14:textId="77777777" w:rsidR="000174AE" w:rsidRPr="00A76C93" w:rsidRDefault="007D2656" w:rsidP="000174AE">
            <w:pPr>
              <w:rPr>
                <w:rFonts w:ascii="Century Gothic" w:hAnsi="Century Gothic"/>
              </w:rPr>
            </w:pPr>
            <w:r w:rsidRPr="00A76C93">
              <w:rPr>
                <w:rFonts w:ascii="Century Gothic" w:hAnsi="Century Gothic"/>
              </w:rPr>
              <w:t>Currently reads “referral as soon as possible”</w:t>
            </w:r>
          </w:p>
          <w:p w14:paraId="017AFCFC" w14:textId="77777777" w:rsidR="007D2656" w:rsidRPr="00A76C93" w:rsidRDefault="007D2656" w:rsidP="000174AE">
            <w:pPr>
              <w:rPr>
                <w:rFonts w:ascii="Century Gothic" w:hAnsi="Century Gothic"/>
              </w:rPr>
            </w:pPr>
          </w:p>
          <w:p w14:paraId="39B7B655" w14:textId="7D5B7DEF" w:rsidR="007D2656" w:rsidRPr="00A76C93" w:rsidRDefault="007D2656" w:rsidP="000174AE">
            <w:pPr>
              <w:rPr>
                <w:rFonts w:ascii="Century Gothic" w:hAnsi="Century Gothic"/>
              </w:rPr>
            </w:pPr>
            <w:r w:rsidRPr="00A76C93">
              <w:rPr>
                <w:rFonts w:ascii="Century Gothic" w:hAnsi="Century Gothic"/>
              </w:rPr>
              <w:t xml:space="preserve">This is not specific enough and might not reflect the underlying risk on a case by case basis. </w:t>
            </w:r>
          </w:p>
          <w:p w14:paraId="39FB3B87" w14:textId="76276DB3" w:rsidR="007D2656" w:rsidRPr="00A76C93" w:rsidRDefault="007D2656" w:rsidP="000174AE">
            <w:pPr>
              <w:rPr>
                <w:rFonts w:ascii="Century Gothic" w:hAnsi="Century Gothic"/>
              </w:rPr>
            </w:pPr>
          </w:p>
          <w:p w14:paraId="61A86D0D" w14:textId="0D82D1F8" w:rsidR="007D2656" w:rsidRPr="00A76C93" w:rsidRDefault="007D2656" w:rsidP="000174AE">
            <w:pPr>
              <w:rPr>
                <w:rFonts w:ascii="Century Gothic" w:hAnsi="Century Gothic"/>
              </w:rPr>
            </w:pPr>
            <w:r w:rsidRPr="00A76C93">
              <w:rPr>
                <w:rFonts w:ascii="Century Gothic" w:hAnsi="Century Gothic"/>
              </w:rPr>
              <w:t xml:space="preserve">Could the guidance </w:t>
            </w:r>
            <w:r w:rsidR="008274C6" w:rsidRPr="00A76C93">
              <w:rPr>
                <w:rFonts w:ascii="Century Gothic" w:hAnsi="Century Gothic"/>
              </w:rPr>
              <w:t xml:space="preserve">possibly </w:t>
            </w:r>
            <w:r w:rsidRPr="00A76C93">
              <w:rPr>
                <w:rFonts w:ascii="Century Gothic" w:hAnsi="Century Gothic"/>
              </w:rPr>
              <w:t>be clearer on which symptoms and signs require urgent vs routine referral in order to avoid any avoidable adverse impacts.</w:t>
            </w:r>
          </w:p>
          <w:p w14:paraId="19010C24" w14:textId="77777777" w:rsidR="007D2656" w:rsidRDefault="007D2656" w:rsidP="000174AE">
            <w:pPr>
              <w:rPr>
                <w:rFonts w:ascii="Century Gothic" w:hAnsi="Century Gothic"/>
              </w:rPr>
            </w:pPr>
          </w:p>
          <w:p w14:paraId="49016444" w14:textId="0F743FDF" w:rsidR="008651B3" w:rsidRPr="00A76C93" w:rsidRDefault="008651B3" w:rsidP="000174AE">
            <w:pPr>
              <w:rPr>
                <w:rFonts w:ascii="Century Gothic" w:hAnsi="Century Gothic"/>
              </w:rPr>
            </w:pPr>
          </w:p>
        </w:tc>
        <w:tc>
          <w:tcPr>
            <w:tcW w:w="4678" w:type="dxa"/>
            <w:tcBorders>
              <w:top w:val="nil"/>
              <w:left w:val="nil"/>
              <w:bottom w:val="single" w:sz="4" w:space="0" w:color="auto"/>
              <w:right w:val="single" w:sz="4" w:space="0" w:color="auto"/>
            </w:tcBorders>
            <w:shd w:val="clear" w:color="auto" w:fill="auto"/>
            <w:noWrap/>
          </w:tcPr>
          <w:p w14:paraId="55705D91" w14:textId="77777777" w:rsidR="000174AE" w:rsidRPr="00A76C93" w:rsidRDefault="000174AE" w:rsidP="000174AE">
            <w:pPr>
              <w:rPr>
                <w:rFonts w:ascii="Century Gothic" w:hAnsi="Century Gothic" w:cs="Calibri"/>
                <w:color w:val="000000"/>
              </w:rPr>
            </w:pPr>
          </w:p>
        </w:tc>
      </w:tr>
      <w:tr w:rsidR="000174AE" w:rsidRPr="00A76C93" w14:paraId="524E4DBF" w14:textId="77777777" w:rsidTr="009D4452">
        <w:trPr>
          <w:trHeight w:val="285"/>
        </w:trPr>
        <w:tc>
          <w:tcPr>
            <w:tcW w:w="1134" w:type="dxa"/>
            <w:tcBorders>
              <w:top w:val="nil"/>
              <w:left w:val="single" w:sz="4" w:space="0" w:color="auto"/>
              <w:bottom w:val="single" w:sz="4" w:space="0" w:color="auto"/>
              <w:right w:val="single" w:sz="4" w:space="0" w:color="auto"/>
            </w:tcBorders>
            <w:shd w:val="clear" w:color="auto" w:fill="auto"/>
            <w:noWrap/>
          </w:tcPr>
          <w:p w14:paraId="42090BCF" w14:textId="1B4E92BC" w:rsidR="000174AE" w:rsidRPr="00A76C93" w:rsidRDefault="003A257D" w:rsidP="000174AE">
            <w:pPr>
              <w:rPr>
                <w:rFonts w:ascii="Century Gothic" w:hAnsi="Century Gothic" w:cs="Calibri"/>
              </w:rPr>
            </w:pPr>
            <w:r w:rsidRPr="00A76C93">
              <w:rPr>
                <w:rFonts w:ascii="Century Gothic" w:hAnsi="Century Gothic" w:cs="Calibri"/>
              </w:rPr>
              <w:lastRenderedPageBreak/>
              <w:t>4.1.2</w:t>
            </w:r>
          </w:p>
        </w:tc>
        <w:tc>
          <w:tcPr>
            <w:tcW w:w="856" w:type="dxa"/>
            <w:tcBorders>
              <w:top w:val="nil"/>
              <w:left w:val="nil"/>
              <w:bottom w:val="single" w:sz="4" w:space="0" w:color="auto"/>
              <w:right w:val="single" w:sz="4" w:space="0" w:color="auto"/>
            </w:tcBorders>
            <w:shd w:val="clear" w:color="auto" w:fill="auto"/>
            <w:noWrap/>
          </w:tcPr>
          <w:p w14:paraId="7016D68B" w14:textId="6C3C3E35" w:rsidR="000174AE" w:rsidRPr="00A76C93" w:rsidRDefault="003A257D" w:rsidP="000174AE">
            <w:pPr>
              <w:rPr>
                <w:rFonts w:ascii="Century Gothic" w:hAnsi="Century Gothic" w:cs="Calibri"/>
              </w:rPr>
            </w:pPr>
            <w:r w:rsidRPr="00A76C93">
              <w:rPr>
                <w:rFonts w:ascii="Century Gothic" w:hAnsi="Century Gothic" w:cs="Calibri"/>
              </w:rPr>
              <w:t>281-305</w:t>
            </w:r>
          </w:p>
        </w:tc>
        <w:tc>
          <w:tcPr>
            <w:tcW w:w="1419" w:type="dxa"/>
            <w:tcBorders>
              <w:top w:val="nil"/>
              <w:left w:val="nil"/>
              <w:bottom w:val="single" w:sz="4" w:space="0" w:color="auto"/>
              <w:right w:val="single" w:sz="4" w:space="0" w:color="auto"/>
            </w:tcBorders>
            <w:shd w:val="clear" w:color="auto" w:fill="auto"/>
          </w:tcPr>
          <w:p w14:paraId="3731843D" w14:textId="5CBB82F6" w:rsidR="000174AE" w:rsidRPr="00A76C93" w:rsidRDefault="003A257D" w:rsidP="000174AE">
            <w:pPr>
              <w:rPr>
                <w:rFonts w:ascii="Century Gothic" w:hAnsi="Century Gothic" w:cs="Calibri"/>
              </w:rPr>
            </w:pPr>
            <w:r w:rsidRPr="00A76C93">
              <w:rPr>
                <w:rFonts w:ascii="Century Gothic" w:hAnsi="Century Gothic" w:cs="Calibri"/>
              </w:rPr>
              <w:t xml:space="preserve">Softening drops </w:t>
            </w:r>
          </w:p>
        </w:tc>
        <w:tc>
          <w:tcPr>
            <w:tcW w:w="5805" w:type="dxa"/>
            <w:tcBorders>
              <w:top w:val="nil"/>
              <w:left w:val="nil"/>
              <w:bottom w:val="single" w:sz="4" w:space="0" w:color="auto"/>
              <w:right w:val="single" w:sz="4" w:space="0" w:color="auto"/>
            </w:tcBorders>
            <w:shd w:val="clear" w:color="auto" w:fill="auto"/>
          </w:tcPr>
          <w:p w14:paraId="59119B69" w14:textId="77777777" w:rsidR="00192FB6" w:rsidRPr="00A76C93" w:rsidRDefault="00192FB6" w:rsidP="000174AE">
            <w:pPr>
              <w:rPr>
                <w:rFonts w:ascii="Century Gothic" w:hAnsi="Century Gothic" w:cs="Calibri"/>
              </w:rPr>
            </w:pPr>
            <w:r w:rsidRPr="00A76C93">
              <w:rPr>
                <w:rFonts w:ascii="Century Gothic" w:hAnsi="Century Gothic" w:cs="Calibri"/>
              </w:rPr>
              <w:t xml:space="preserve">It would be helpful if this section could be reviewed to ensure it is consistent with the NICE guideline and supporting evidence. </w:t>
            </w:r>
          </w:p>
          <w:p w14:paraId="4813B0C7" w14:textId="4EC2712C" w:rsidR="00192FB6" w:rsidRPr="00A76C93" w:rsidRDefault="00192FB6" w:rsidP="000174AE">
            <w:pPr>
              <w:rPr>
                <w:rFonts w:ascii="Century Gothic" w:hAnsi="Century Gothic" w:cs="Calibri"/>
              </w:rPr>
            </w:pPr>
          </w:p>
          <w:p w14:paraId="147C8DE3" w14:textId="389A30D4" w:rsidR="000F65EC" w:rsidRPr="00A76C93" w:rsidRDefault="000F65EC" w:rsidP="000174AE">
            <w:pPr>
              <w:rPr>
                <w:rFonts w:ascii="Century Gothic" w:hAnsi="Century Gothic" w:cs="Calibri"/>
              </w:rPr>
            </w:pPr>
            <w:r w:rsidRPr="00A76C93">
              <w:rPr>
                <w:rFonts w:ascii="Century Gothic" w:hAnsi="Century Gothic" w:cs="Calibri"/>
              </w:rPr>
              <w:t>For example:</w:t>
            </w:r>
          </w:p>
          <w:p w14:paraId="7DD91F36" w14:textId="77777777" w:rsidR="000F65EC" w:rsidRPr="00A76C93" w:rsidRDefault="000F65EC" w:rsidP="000F65EC">
            <w:pPr>
              <w:rPr>
                <w:rFonts w:ascii="Century Gothic" w:hAnsi="Century Gothic" w:cs="Calibri"/>
              </w:rPr>
            </w:pPr>
          </w:p>
          <w:p w14:paraId="0C399412" w14:textId="77777777" w:rsidR="000F65EC" w:rsidRPr="00A76C93" w:rsidRDefault="00505245" w:rsidP="000F65EC">
            <w:pPr>
              <w:rPr>
                <w:rFonts w:ascii="Century Gothic" w:hAnsi="Century Gothic" w:cs="Calibri"/>
              </w:rPr>
            </w:pPr>
            <w:r w:rsidRPr="00A76C93">
              <w:rPr>
                <w:rFonts w:ascii="Century Gothic" w:hAnsi="Century Gothic" w:cs="Calibri"/>
              </w:rPr>
              <w:t>The NICE guideline reviewed various softening agents</w:t>
            </w:r>
            <w:r w:rsidR="000F65EC" w:rsidRPr="00A76C93">
              <w:rPr>
                <w:rFonts w:ascii="Century Gothic" w:hAnsi="Century Gothic" w:cs="Calibri"/>
              </w:rPr>
              <w:t xml:space="preserve"> and states  </w:t>
            </w:r>
          </w:p>
          <w:p w14:paraId="5B4CA7E6" w14:textId="77777777" w:rsidR="000F65EC" w:rsidRPr="00A76C93" w:rsidRDefault="00644F7F" w:rsidP="000F65EC">
            <w:pPr>
              <w:pStyle w:val="ListParagraph"/>
              <w:numPr>
                <w:ilvl w:val="0"/>
                <w:numId w:val="15"/>
              </w:numPr>
              <w:rPr>
                <w:rFonts w:ascii="Century Gothic" w:hAnsi="Century Gothic" w:cs="Calibri"/>
              </w:rPr>
            </w:pPr>
            <w:r w:rsidRPr="00A76C93">
              <w:rPr>
                <w:rFonts w:ascii="Century Gothic" w:hAnsi="Century Gothic" w:cs="Calibri"/>
              </w:rPr>
              <w:t>“</w:t>
            </w:r>
            <w:r w:rsidRPr="00A76C93">
              <w:rPr>
                <w:rFonts w:ascii="Century Gothic" w:hAnsi="Century Gothic"/>
              </w:rPr>
              <w:t xml:space="preserve">use pre-treatment wax softeners, either immediately before ear irrigation or for up to 5 days beforehand”, page 8 </w:t>
            </w:r>
            <w:hyperlink r:id="rId13" w:history="1">
              <w:r w:rsidRPr="00A76C93">
                <w:rPr>
                  <w:rStyle w:val="Hyperlink"/>
                  <w:rFonts w:ascii="Century Gothic" w:hAnsi="Century Gothic"/>
                </w:rPr>
                <w:t>https://www.nice.org.uk/guidance/ng98/resources/hearing-loss-in-adults-assessment-and-management-pdf-1837761878725</w:t>
              </w:r>
            </w:hyperlink>
            <w:r w:rsidR="00192FB6" w:rsidRPr="00A76C93">
              <w:rPr>
                <w:rFonts w:ascii="Century Gothic" w:hAnsi="Century Gothic"/>
              </w:rPr>
              <w:t>.</w:t>
            </w:r>
            <w:r w:rsidR="000F65EC" w:rsidRPr="00A76C93">
              <w:rPr>
                <w:rFonts w:ascii="Century Gothic" w:hAnsi="Century Gothic" w:cs="Calibri"/>
              </w:rPr>
              <w:t xml:space="preserve"> </w:t>
            </w:r>
          </w:p>
          <w:p w14:paraId="76BFBDBD" w14:textId="77777777" w:rsidR="008651B3" w:rsidRDefault="008651B3" w:rsidP="008651B3">
            <w:pPr>
              <w:rPr>
                <w:rFonts w:ascii="Century Gothic" w:hAnsi="Century Gothic" w:cs="Calibri"/>
              </w:rPr>
            </w:pPr>
          </w:p>
          <w:p w14:paraId="64EA3B48" w14:textId="0A082D55" w:rsidR="000F65EC" w:rsidRPr="008651B3" w:rsidRDefault="00192FB6" w:rsidP="008651B3">
            <w:pPr>
              <w:rPr>
                <w:rFonts w:ascii="Century Gothic" w:hAnsi="Century Gothic" w:cs="Calibri"/>
              </w:rPr>
            </w:pPr>
            <w:r w:rsidRPr="008651B3">
              <w:rPr>
                <w:rFonts w:ascii="Century Gothic" w:hAnsi="Century Gothic" w:cs="Calibri"/>
              </w:rPr>
              <w:t xml:space="preserve">The BSA guidance states to “use where appropriate”. </w:t>
            </w:r>
            <w:r w:rsidR="000F65EC" w:rsidRPr="008651B3">
              <w:rPr>
                <w:rFonts w:ascii="Century Gothic" w:hAnsi="Century Gothic" w:cs="Calibri"/>
              </w:rPr>
              <w:t xml:space="preserve"> </w:t>
            </w:r>
          </w:p>
          <w:p w14:paraId="26B9EC8C" w14:textId="77777777" w:rsidR="000F65EC" w:rsidRPr="00A76C93" w:rsidRDefault="000F65EC" w:rsidP="000F65EC">
            <w:pPr>
              <w:rPr>
                <w:rFonts w:ascii="Century Gothic" w:hAnsi="Century Gothic" w:cs="Calibri"/>
              </w:rPr>
            </w:pPr>
          </w:p>
          <w:p w14:paraId="0FB3D410" w14:textId="08F128E1" w:rsidR="00192FB6" w:rsidRPr="00A76C93" w:rsidRDefault="00192FB6" w:rsidP="000F65EC">
            <w:pPr>
              <w:rPr>
                <w:rFonts w:ascii="Century Gothic" w:hAnsi="Century Gothic" w:cs="Calibri"/>
              </w:rPr>
            </w:pPr>
            <w:r w:rsidRPr="00A76C93">
              <w:rPr>
                <w:rFonts w:ascii="Century Gothic" w:hAnsi="Century Gothic" w:cs="Calibri"/>
              </w:rPr>
              <w:t>The NICE guideline</w:t>
            </w:r>
            <w:r w:rsidR="000F65EC" w:rsidRPr="00A76C93">
              <w:rPr>
                <w:rFonts w:ascii="Century Gothic" w:hAnsi="Century Gothic" w:cs="Calibri"/>
              </w:rPr>
              <w:t xml:space="preserve"> therefore</w:t>
            </w:r>
            <w:r w:rsidRPr="00A76C93">
              <w:rPr>
                <w:rFonts w:ascii="Century Gothic" w:hAnsi="Century Gothic" w:cs="Calibri"/>
              </w:rPr>
              <w:t xml:space="preserve"> suggests pre-treatment is always preferable, the BSA draft suggests there are cases where it might not be. Clarity here would be helpful.</w:t>
            </w:r>
          </w:p>
          <w:p w14:paraId="60342737" w14:textId="77777777" w:rsidR="000F65EC" w:rsidRPr="00A76C93" w:rsidRDefault="000F65EC" w:rsidP="000F65EC">
            <w:pPr>
              <w:rPr>
                <w:rFonts w:ascii="Century Gothic" w:hAnsi="Century Gothic" w:cs="Calibri"/>
              </w:rPr>
            </w:pPr>
          </w:p>
          <w:p w14:paraId="75F64164" w14:textId="4EDB9901" w:rsidR="00192FB6" w:rsidRPr="00A76C93" w:rsidRDefault="00192FB6" w:rsidP="000F65EC">
            <w:pPr>
              <w:rPr>
                <w:rFonts w:ascii="Century Gothic" w:hAnsi="Century Gothic"/>
              </w:rPr>
            </w:pPr>
            <w:r w:rsidRPr="00A76C93">
              <w:rPr>
                <w:rFonts w:ascii="Century Gothic" w:hAnsi="Century Gothic" w:cs="Calibri"/>
              </w:rPr>
              <w:t>The BSA guidance recommends</w:t>
            </w:r>
            <w:r w:rsidR="00F910FB" w:rsidRPr="00A76C93">
              <w:rPr>
                <w:rFonts w:ascii="Century Gothic" w:hAnsi="Century Gothic" w:cs="Calibri"/>
              </w:rPr>
              <w:t>/signposts to</w:t>
            </w:r>
            <w:r w:rsidRPr="00A76C93">
              <w:rPr>
                <w:rFonts w:ascii="Century Gothic" w:hAnsi="Century Gothic" w:cs="Calibri"/>
              </w:rPr>
              <w:t xml:space="preserve"> specific preparation</w:t>
            </w:r>
            <w:r w:rsidR="00F910FB" w:rsidRPr="00A76C93">
              <w:rPr>
                <w:rFonts w:ascii="Century Gothic" w:hAnsi="Century Gothic" w:cs="Calibri"/>
              </w:rPr>
              <w:t>s (e.g. line 283)</w:t>
            </w:r>
            <w:r w:rsidRPr="00A76C93">
              <w:rPr>
                <w:rFonts w:ascii="Century Gothic" w:hAnsi="Century Gothic" w:cs="Calibri"/>
              </w:rPr>
              <w:t xml:space="preserve">. </w:t>
            </w:r>
            <w:r w:rsidR="000F65EC" w:rsidRPr="00A76C93">
              <w:rPr>
                <w:rFonts w:ascii="Century Gothic" w:hAnsi="Century Gothic"/>
              </w:rPr>
              <w:t xml:space="preserve"> </w:t>
            </w:r>
            <w:r w:rsidR="00595D35" w:rsidRPr="00A76C93">
              <w:rPr>
                <w:rFonts w:ascii="Century Gothic" w:hAnsi="Century Gothic" w:cs="Calibri"/>
              </w:rPr>
              <w:t xml:space="preserve">The NICE guideline Committee in contrast states  </w:t>
            </w:r>
          </w:p>
          <w:p w14:paraId="7ABD3962" w14:textId="6460861F" w:rsidR="00595D35" w:rsidRPr="00A76C93" w:rsidRDefault="00595D35" w:rsidP="00595D35">
            <w:pPr>
              <w:rPr>
                <w:rFonts w:ascii="Century Gothic" w:hAnsi="Century Gothic"/>
              </w:rPr>
            </w:pPr>
          </w:p>
          <w:p w14:paraId="6367A72D" w14:textId="251987A3" w:rsidR="00595D35" w:rsidRPr="00A76C93" w:rsidRDefault="00595D35" w:rsidP="000F65EC">
            <w:pPr>
              <w:pStyle w:val="ListParagraph"/>
              <w:numPr>
                <w:ilvl w:val="0"/>
                <w:numId w:val="16"/>
              </w:numPr>
              <w:rPr>
                <w:rFonts w:ascii="Century Gothic" w:hAnsi="Century Gothic"/>
              </w:rPr>
            </w:pPr>
            <w:r w:rsidRPr="00A76C93">
              <w:rPr>
                <w:rFonts w:ascii="Century Gothic" w:hAnsi="Century Gothic"/>
              </w:rPr>
              <w:t xml:space="preserve">“The evidence demonstrated the benefit of using earwax softeners before ear irrigation, </w:t>
            </w:r>
            <w:r w:rsidRPr="00A76C93">
              <w:rPr>
                <w:rFonts w:ascii="Century Gothic" w:hAnsi="Century Gothic"/>
              </w:rPr>
              <w:lastRenderedPageBreak/>
              <w:t xml:space="preserve">however the evidence was not strong enough to recommend a specific type of softener between oil, sodium bicarbonate or water. The committee recognised that it is currently common practice to use sodium bicarbonate or olive oil, although there is wide variation in practice amongst clinicians and personal preference plays a strong role, as does the type of the earwax. The evidence indicated that water is as clinically effective as other types of softeners and could be used as an alternative. The committee considered that clinical judgement should be used to determine which softener is most appropriate for the patient. Clinicians should also consider cost as a factor in their decision-making” </w:t>
            </w:r>
            <w:hyperlink r:id="rId14" w:history="1">
              <w:r w:rsidRPr="00A76C93">
                <w:rPr>
                  <w:rStyle w:val="Hyperlink"/>
                  <w:rFonts w:ascii="Century Gothic" w:hAnsi="Century Gothic"/>
                </w:rPr>
                <w:t>https://www.nice.org.uk/guidance/ng98/evidence/full-guideline-pdf-4852693117</w:t>
              </w:r>
            </w:hyperlink>
          </w:p>
          <w:p w14:paraId="41DBCA01" w14:textId="77777777" w:rsidR="000F65EC" w:rsidRPr="00A76C93" w:rsidRDefault="000F65EC" w:rsidP="00595D35">
            <w:pPr>
              <w:rPr>
                <w:rFonts w:ascii="Century Gothic" w:hAnsi="Century Gothic"/>
              </w:rPr>
            </w:pPr>
          </w:p>
          <w:p w14:paraId="0D15A5ED" w14:textId="0D8D782C" w:rsidR="00505245" w:rsidRPr="00A76C93" w:rsidRDefault="00595D35" w:rsidP="000174AE">
            <w:pPr>
              <w:rPr>
                <w:rFonts w:ascii="Century Gothic" w:hAnsi="Century Gothic" w:cs="Calibri"/>
              </w:rPr>
            </w:pPr>
            <w:r w:rsidRPr="00A76C93">
              <w:rPr>
                <w:rFonts w:ascii="Century Gothic" w:hAnsi="Century Gothic" w:cs="Calibri"/>
              </w:rPr>
              <w:t xml:space="preserve">The NHS in England has also advised against GP’s prescribing OTC wax softeners. </w:t>
            </w:r>
            <w:r w:rsidR="009F73E9" w:rsidRPr="00A76C93">
              <w:rPr>
                <w:rFonts w:ascii="Century Gothic" w:hAnsi="Century Gothic" w:cs="Calibri"/>
              </w:rPr>
              <w:t xml:space="preserve">See page 24 </w:t>
            </w:r>
          </w:p>
          <w:p w14:paraId="675583AF" w14:textId="6126DD4F" w:rsidR="009F73E9" w:rsidRPr="00A76C93" w:rsidRDefault="006B4DAF" w:rsidP="009F73E9">
            <w:pPr>
              <w:rPr>
                <w:rFonts w:ascii="Century Gothic" w:hAnsi="Century Gothic"/>
              </w:rPr>
            </w:pPr>
            <w:hyperlink r:id="rId15" w:history="1">
              <w:r w:rsidR="009F73E9" w:rsidRPr="00A76C93">
                <w:rPr>
                  <w:rStyle w:val="Hyperlink"/>
                  <w:rFonts w:ascii="Century Gothic" w:hAnsi="Century Gothic"/>
                </w:rPr>
                <w:t>https://www.england.nhs.uk/wp-content/uploads/2018/03/otc-guidance-for-ccgs.pdf</w:t>
              </w:r>
            </w:hyperlink>
          </w:p>
          <w:p w14:paraId="2B050155" w14:textId="7A10E75A" w:rsidR="000B4240" w:rsidRPr="00A76C93" w:rsidRDefault="000B4240" w:rsidP="009F73E9">
            <w:pPr>
              <w:rPr>
                <w:rFonts w:ascii="Century Gothic" w:hAnsi="Century Gothic"/>
              </w:rPr>
            </w:pPr>
          </w:p>
          <w:p w14:paraId="46E3C81D" w14:textId="77777777" w:rsidR="000F65EC" w:rsidRPr="00A76C93" w:rsidRDefault="000B4240" w:rsidP="009F73E9">
            <w:pPr>
              <w:rPr>
                <w:rFonts w:ascii="Century Gothic" w:hAnsi="Century Gothic"/>
              </w:rPr>
            </w:pPr>
            <w:r w:rsidRPr="00A76C93">
              <w:rPr>
                <w:rFonts w:ascii="Century Gothic" w:hAnsi="Century Gothic"/>
              </w:rPr>
              <w:t xml:space="preserve">Read together, some NHS patients might not be able to access funded ear drops, NICE notes clinicians should consider cost as a factor, and </w:t>
            </w:r>
            <w:r w:rsidRPr="00A76C93">
              <w:rPr>
                <w:rFonts w:ascii="Century Gothic" w:hAnsi="Century Gothic"/>
              </w:rPr>
              <w:lastRenderedPageBreak/>
              <w:t xml:space="preserve">therefore </w:t>
            </w:r>
            <w:r w:rsidR="000F65EC" w:rsidRPr="00A76C93">
              <w:rPr>
                <w:rFonts w:ascii="Century Gothic" w:hAnsi="Century Gothic"/>
              </w:rPr>
              <w:t xml:space="preserve">it is </w:t>
            </w:r>
            <w:r w:rsidRPr="00A76C93">
              <w:rPr>
                <w:rFonts w:ascii="Century Gothic" w:hAnsi="Century Gothic"/>
              </w:rPr>
              <w:t xml:space="preserve">important the BSA guidance explains the evidence base more clearly on what people can use safely as a softener. </w:t>
            </w:r>
          </w:p>
          <w:p w14:paraId="0AD8D472" w14:textId="77777777" w:rsidR="000F65EC" w:rsidRPr="00A76C93" w:rsidRDefault="000F65EC" w:rsidP="009F73E9">
            <w:pPr>
              <w:rPr>
                <w:rFonts w:ascii="Century Gothic" w:hAnsi="Century Gothic"/>
              </w:rPr>
            </w:pPr>
          </w:p>
          <w:p w14:paraId="758860DA" w14:textId="3F705AB7" w:rsidR="000B4240" w:rsidRPr="00A76C93" w:rsidRDefault="000F65EC" w:rsidP="009F73E9">
            <w:pPr>
              <w:rPr>
                <w:rFonts w:ascii="Century Gothic" w:hAnsi="Century Gothic"/>
              </w:rPr>
            </w:pPr>
            <w:r w:rsidRPr="00A76C93">
              <w:rPr>
                <w:rFonts w:ascii="Century Gothic" w:hAnsi="Century Gothic"/>
              </w:rPr>
              <w:t xml:space="preserve">Hopefully the final BSA guidance can share a wider range of softeners and set out the NICE evidence on effectiveness between different preparations, and this in turn will help providers support more people with impacted wax. </w:t>
            </w:r>
          </w:p>
          <w:p w14:paraId="0747F55F" w14:textId="77777777" w:rsidR="009F73E9" w:rsidRPr="00A76C93" w:rsidRDefault="009F73E9" w:rsidP="000174AE">
            <w:pPr>
              <w:rPr>
                <w:rFonts w:ascii="Century Gothic" w:hAnsi="Century Gothic" w:cs="Calibri"/>
              </w:rPr>
            </w:pPr>
          </w:p>
          <w:p w14:paraId="01AAE7D0" w14:textId="6273BC8F" w:rsidR="00192FB6" w:rsidRPr="00A76C93" w:rsidRDefault="00192FB6" w:rsidP="000174AE">
            <w:pPr>
              <w:rPr>
                <w:rFonts w:ascii="Century Gothic" w:hAnsi="Century Gothic" w:cs="Calibri"/>
              </w:rPr>
            </w:pPr>
          </w:p>
        </w:tc>
        <w:tc>
          <w:tcPr>
            <w:tcW w:w="4678" w:type="dxa"/>
            <w:tcBorders>
              <w:top w:val="nil"/>
              <w:left w:val="nil"/>
              <w:bottom w:val="single" w:sz="4" w:space="0" w:color="auto"/>
              <w:right w:val="single" w:sz="4" w:space="0" w:color="auto"/>
            </w:tcBorders>
            <w:shd w:val="clear" w:color="auto" w:fill="auto"/>
            <w:noWrap/>
          </w:tcPr>
          <w:p w14:paraId="148BCD43" w14:textId="34DEEDC7" w:rsidR="000174AE" w:rsidRPr="00A76C93" w:rsidRDefault="000F65EC" w:rsidP="000174AE">
            <w:pPr>
              <w:rPr>
                <w:rFonts w:ascii="Century Gothic" w:hAnsi="Century Gothic" w:cs="Calibri"/>
                <w:color w:val="000000"/>
              </w:rPr>
            </w:pPr>
            <w:r w:rsidRPr="00A76C93">
              <w:rPr>
                <w:rFonts w:ascii="Century Gothic" w:hAnsi="Century Gothic" w:cs="Calibri"/>
                <w:color w:val="000000"/>
              </w:rPr>
              <w:lastRenderedPageBreak/>
              <w:t>Review the NICE evidence on wax softeners and consider updating section 4.1.2</w:t>
            </w:r>
          </w:p>
        </w:tc>
      </w:tr>
      <w:tr w:rsidR="000174AE" w:rsidRPr="00A76C93" w14:paraId="500D11F2" w14:textId="77777777" w:rsidTr="009D4452">
        <w:trPr>
          <w:trHeight w:val="285"/>
        </w:trPr>
        <w:tc>
          <w:tcPr>
            <w:tcW w:w="1134" w:type="dxa"/>
            <w:tcBorders>
              <w:top w:val="nil"/>
              <w:left w:val="single" w:sz="4" w:space="0" w:color="auto"/>
              <w:bottom w:val="single" w:sz="4" w:space="0" w:color="auto"/>
              <w:right w:val="single" w:sz="4" w:space="0" w:color="auto"/>
            </w:tcBorders>
            <w:shd w:val="clear" w:color="auto" w:fill="auto"/>
            <w:noWrap/>
          </w:tcPr>
          <w:p w14:paraId="3D77967F" w14:textId="2236DD37" w:rsidR="000174AE" w:rsidRPr="00A76C93" w:rsidRDefault="00766EBA" w:rsidP="000174AE">
            <w:pPr>
              <w:rPr>
                <w:rFonts w:ascii="Century Gothic" w:hAnsi="Century Gothic" w:cs="Calibri"/>
              </w:rPr>
            </w:pPr>
            <w:r w:rsidRPr="00A76C93">
              <w:rPr>
                <w:rFonts w:ascii="Century Gothic" w:hAnsi="Century Gothic" w:cs="Calibri"/>
              </w:rPr>
              <w:lastRenderedPageBreak/>
              <w:t>6</w:t>
            </w:r>
          </w:p>
        </w:tc>
        <w:tc>
          <w:tcPr>
            <w:tcW w:w="856" w:type="dxa"/>
            <w:tcBorders>
              <w:top w:val="nil"/>
              <w:left w:val="nil"/>
              <w:bottom w:val="single" w:sz="4" w:space="0" w:color="auto"/>
              <w:right w:val="single" w:sz="4" w:space="0" w:color="auto"/>
            </w:tcBorders>
            <w:shd w:val="clear" w:color="auto" w:fill="auto"/>
            <w:noWrap/>
          </w:tcPr>
          <w:p w14:paraId="2FD549E0" w14:textId="7739772C" w:rsidR="000174AE" w:rsidRPr="00A76C93" w:rsidRDefault="00766EBA" w:rsidP="000174AE">
            <w:pPr>
              <w:rPr>
                <w:rFonts w:ascii="Century Gothic" w:hAnsi="Century Gothic" w:cs="Calibri"/>
              </w:rPr>
            </w:pPr>
            <w:r w:rsidRPr="00A76C93">
              <w:rPr>
                <w:rFonts w:ascii="Century Gothic" w:hAnsi="Century Gothic" w:cs="Calibri"/>
              </w:rPr>
              <w:t>345-348</w:t>
            </w:r>
          </w:p>
        </w:tc>
        <w:tc>
          <w:tcPr>
            <w:tcW w:w="1419" w:type="dxa"/>
            <w:tcBorders>
              <w:top w:val="nil"/>
              <w:left w:val="nil"/>
              <w:bottom w:val="single" w:sz="4" w:space="0" w:color="auto"/>
              <w:right w:val="single" w:sz="4" w:space="0" w:color="auto"/>
            </w:tcBorders>
            <w:shd w:val="clear" w:color="auto" w:fill="auto"/>
          </w:tcPr>
          <w:p w14:paraId="247FD1A5" w14:textId="67D3426C" w:rsidR="000174AE" w:rsidRPr="00A76C93" w:rsidRDefault="00766EBA" w:rsidP="000174AE">
            <w:pPr>
              <w:rPr>
                <w:rFonts w:ascii="Century Gothic" w:hAnsi="Century Gothic" w:cs="Calibri"/>
              </w:rPr>
            </w:pPr>
            <w:r w:rsidRPr="00A76C93">
              <w:rPr>
                <w:rFonts w:ascii="Century Gothic" w:hAnsi="Century Gothic" w:cs="Calibri"/>
              </w:rPr>
              <w:t>6</w:t>
            </w:r>
          </w:p>
        </w:tc>
        <w:tc>
          <w:tcPr>
            <w:tcW w:w="5805" w:type="dxa"/>
            <w:tcBorders>
              <w:top w:val="nil"/>
              <w:left w:val="nil"/>
              <w:bottom w:val="single" w:sz="4" w:space="0" w:color="auto"/>
              <w:right w:val="single" w:sz="4" w:space="0" w:color="auto"/>
            </w:tcBorders>
            <w:shd w:val="clear" w:color="auto" w:fill="auto"/>
          </w:tcPr>
          <w:p w14:paraId="762E154D" w14:textId="77777777" w:rsidR="000174AE" w:rsidRPr="00A76C93" w:rsidRDefault="00766EBA" w:rsidP="000174AE">
            <w:pPr>
              <w:rPr>
                <w:rFonts w:ascii="Century Gothic" w:hAnsi="Century Gothic" w:cs="Calibri"/>
              </w:rPr>
            </w:pPr>
            <w:r w:rsidRPr="00A76C93">
              <w:rPr>
                <w:rFonts w:ascii="Century Gothic" w:hAnsi="Century Gothic" w:cs="Calibri"/>
              </w:rPr>
              <w:t>As noted above, the NICE guideline does not use the same definition of routine as the BSA.</w:t>
            </w:r>
          </w:p>
          <w:p w14:paraId="132343EC" w14:textId="77777777" w:rsidR="00766EBA" w:rsidRPr="00A76C93" w:rsidRDefault="00766EBA" w:rsidP="000174AE">
            <w:pPr>
              <w:rPr>
                <w:rFonts w:ascii="Century Gothic" w:hAnsi="Century Gothic" w:cs="Calibri"/>
              </w:rPr>
            </w:pPr>
          </w:p>
          <w:p w14:paraId="571F9B0D" w14:textId="71F96151" w:rsidR="00766EBA" w:rsidRPr="00A76C93" w:rsidRDefault="00766EBA" w:rsidP="000174AE">
            <w:pPr>
              <w:rPr>
                <w:rFonts w:ascii="Century Gothic" w:hAnsi="Century Gothic" w:cs="Calibri"/>
              </w:rPr>
            </w:pPr>
            <w:r w:rsidRPr="00A76C93">
              <w:rPr>
                <w:rFonts w:ascii="Century Gothic" w:hAnsi="Century Gothic" w:cs="Calibri"/>
              </w:rPr>
              <w:t>The NICE recommendations are based on a review of the evidence and Committee consensus. The Committee set out contraindications for irrigation, and recommended microsuction might be necessary in those cas</w:t>
            </w:r>
            <w:r w:rsidR="00AF4903">
              <w:rPr>
                <w:rFonts w:ascii="Century Gothic" w:hAnsi="Century Gothic" w:cs="Calibri"/>
              </w:rPr>
              <w:t>e</w:t>
            </w:r>
            <w:r w:rsidRPr="00A76C93">
              <w:rPr>
                <w:rFonts w:ascii="Century Gothic" w:hAnsi="Century Gothic" w:cs="Calibri"/>
              </w:rPr>
              <w:t>s</w:t>
            </w:r>
            <w:r w:rsidR="00AF4903">
              <w:rPr>
                <w:rFonts w:ascii="Century Gothic" w:hAnsi="Century Gothic" w:cs="Calibri"/>
              </w:rPr>
              <w:t xml:space="preserve">; and in some </w:t>
            </w:r>
            <w:proofErr w:type="gramStart"/>
            <w:r w:rsidR="00AF4903">
              <w:rPr>
                <w:rFonts w:ascii="Century Gothic" w:hAnsi="Century Gothic" w:cs="Calibri"/>
              </w:rPr>
              <w:t>cases</w:t>
            </w:r>
            <w:proofErr w:type="gramEnd"/>
            <w:r w:rsidR="00AF4903">
              <w:rPr>
                <w:rFonts w:ascii="Century Gothic" w:hAnsi="Century Gothic" w:cs="Calibri"/>
              </w:rPr>
              <w:t xml:space="preserve"> a referral to ear care services or ENT might be required</w:t>
            </w:r>
            <w:r w:rsidRPr="00A76C93">
              <w:rPr>
                <w:rFonts w:ascii="Century Gothic" w:hAnsi="Century Gothic" w:cs="Calibri"/>
              </w:rPr>
              <w:t xml:space="preserve">. </w:t>
            </w:r>
            <w:r w:rsidR="00AF4903">
              <w:rPr>
                <w:rFonts w:ascii="Century Gothic" w:hAnsi="Century Gothic" w:cs="Calibri"/>
              </w:rPr>
              <w:t>Please also</w:t>
            </w:r>
            <w:r w:rsidR="00656C0F" w:rsidRPr="00A76C93">
              <w:rPr>
                <w:rFonts w:ascii="Century Gothic" w:hAnsi="Century Gothic" w:cs="Calibri"/>
              </w:rPr>
              <w:t xml:space="preserve"> s</w:t>
            </w:r>
            <w:r w:rsidRPr="00A76C93">
              <w:rPr>
                <w:rFonts w:ascii="Century Gothic" w:hAnsi="Century Gothic" w:cs="Calibri"/>
              </w:rPr>
              <w:t>ee our comment</w:t>
            </w:r>
            <w:r w:rsidR="00656C0F" w:rsidRPr="00A76C93">
              <w:rPr>
                <w:rFonts w:ascii="Century Gothic" w:hAnsi="Century Gothic" w:cs="Calibri"/>
              </w:rPr>
              <w:t xml:space="preserve"> on section 2.1, scope.</w:t>
            </w:r>
            <w:r w:rsidRPr="00A76C93">
              <w:rPr>
                <w:rFonts w:ascii="Century Gothic" w:hAnsi="Century Gothic" w:cs="Calibri"/>
              </w:rPr>
              <w:t xml:space="preserve"> </w:t>
            </w:r>
          </w:p>
          <w:p w14:paraId="569A746B" w14:textId="75A1B166" w:rsidR="00766EBA" w:rsidRPr="00A76C93" w:rsidRDefault="00766EBA" w:rsidP="000174AE">
            <w:pPr>
              <w:rPr>
                <w:rFonts w:ascii="Century Gothic" w:hAnsi="Century Gothic" w:cs="Calibri"/>
              </w:rPr>
            </w:pPr>
          </w:p>
        </w:tc>
        <w:tc>
          <w:tcPr>
            <w:tcW w:w="4678" w:type="dxa"/>
            <w:tcBorders>
              <w:top w:val="nil"/>
              <w:left w:val="nil"/>
              <w:bottom w:val="single" w:sz="4" w:space="0" w:color="auto"/>
              <w:right w:val="single" w:sz="4" w:space="0" w:color="auto"/>
            </w:tcBorders>
            <w:shd w:val="clear" w:color="auto" w:fill="auto"/>
            <w:noWrap/>
          </w:tcPr>
          <w:p w14:paraId="7E70FFAA" w14:textId="683B451E" w:rsidR="000174AE" w:rsidRPr="00A76C93" w:rsidRDefault="00E07232" w:rsidP="000174AE">
            <w:pPr>
              <w:rPr>
                <w:rFonts w:ascii="Century Gothic" w:hAnsi="Century Gothic" w:cs="Calibri"/>
                <w:color w:val="000000"/>
              </w:rPr>
            </w:pPr>
            <w:r w:rsidRPr="00A76C93">
              <w:rPr>
                <w:rFonts w:ascii="Century Gothic" w:hAnsi="Century Gothic" w:cs="Calibri"/>
                <w:color w:val="000000"/>
              </w:rPr>
              <w:t xml:space="preserve">Review the use of “routine” in this context, </w:t>
            </w:r>
            <w:proofErr w:type="gramStart"/>
            <w:r w:rsidRPr="00A76C93">
              <w:rPr>
                <w:rFonts w:ascii="Century Gothic" w:hAnsi="Century Gothic" w:cs="Calibri"/>
                <w:color w:val="000000"/>
              </w:rPr>
              <w:t>referring back</w:t>
            </w:r>
            <w:proofErr w:type="gramEnd"/>
            <w:r w:rsidRPr="00A76C93">
              <w:rPr>
                <w:rFonts w:ascii="Century Gothic" w:hAnsi="Century Gothic" w:cs="Calibri"/>
                <w:color w:val="000000"/>
              </w:rPr>
              <w:t xml:space="preserve"> to the original NICE guideline which set out contraindications based on the assumption the primary intervention would be irrigation in a non-secondary care setting</w:t>
            </w:r>
            <w:r w:rsidR="00892F83">
              <w:rPr>
                <w:rFonts w:ascii="Century Gothic" w:hAnsi="Century Gothic" w:cs="Calibri"/>
                <w:color w:val="000000"/>
              </w:rPr>
              <w:t xml:space="preserve"> (see our feedback on 2.1)</w:t>
            </w:r>
            <w:r w:rsidRPr="00A76C93">
              <w:rPr>
                <w:rFonts w:ascii="Century Gothic" w:hAnsi="Century Gothic" w:cs="Calibri"/>
                <w:color w:val="000000"/>
              </w:rPr>
              <w:t xml:space="preserve">  </w:t>
            </w:r>
          </w:p>
        </w:tc>
      </w:tr>
      <w:tr w:rsidR="000174AE" w:rsidRPr="00A76C93" w14:paraId="5C85DD27" w14:textId="77777777" w:rsidTr="009D4452">
        <w:trPr>
          <w:trHeight w:val="285"/>
        </w:trPr>
        <w:tc>
          <w:tcPr>
            <w:tcW w:w="1134" w:type="dxa"/>
            <w:tcBorders>
              <w:top w:val="nil"/>
              <w:left w:val="single" w:sz="4" w:space="0" w:color="auto"/>
              <w:bottom w:val="single" w:sz="4" w:space="0" w:color="auto"/>
              <w:right w:val="single" w:sz="4" w:space="0" w:color="auto"/>
            </w:tcBorders>
            <w:shd w:val="clear" w:color="auto" w:fill="auto"/>
            <w:noWrap/>
          </w:tcPr>
          <w:p w14:paraId="6FF08287" w14:textId="728C2B72" w:rsidR="000174AE" w:rsidRPr="00A76C93" w:rsidRDefault="00766EBA" w:rsidP="000174AE">
            <w:pPr>
              <w:rPr>
                <w:rFonts w:ascii="Century Gothic" w:hAnsi="Century Gothic" w:cs="Calibri"/>
              </w:rPr>
            </w:pPr>
            <w:r w:rsidRPr="00A76C93">
              <w:rPr>
                <w:rFonts w:ascii="Century Gothic" w:hAnsi="Century Gothic" w:cs="Calibri"/>
              </w:rPr>
              <w:t>7</w:t>
            </w:r>
          </w:p>
        </w:tc>
        <w:tc>
          <w:tcPr>
            <w:tcW w:w="856" w:type="dxa"/>
            <w:tcBorders>
              <w:top w:val="nil"/>
              <w:left w:val="nil"/>
              <w:bottom w:val="single" w:sz="4" w:space="0" w:color="auto"/>
              <w:right w:val="single" w:sz="4" w:space="0" w:color="auto"/>
            </w:tcBorders>
            <w:shd w:val="clear" w:color="auto" w:fill="auto"/>
            <w:noWrap/>
          </w:tcPr>
          <w:p w14:paraId="78CC72FF" w14:textId="3B5A7024" w:rsidR="000174AE" w:rsidRPr="00A76C93" w:rsidRDefault="00766EBA" w:rsidP="000174AE">
            <w:pPr>
              <w:rPr>
                <w:rFonts w:ascii="Century Gothic" w:hAnsi="Century Gothic" w:cs="Calibri"/>
              </w:rPr>
            </w:pPr>
            <w:r w:rsidRPr="00A76C93">
              <w:rPr>
                <w:rFonts w:ascii="Century Gothic" w:hAnsi="Century Gothic" w:cs="Calibri"/>
              </w:rPr>
              <w:t>368</w:t>
            </w:r>
          </w:p>
        </w:tc>
        <w:tc>
          <w:tcPr>
            <w:tcW w:w="1419" w:type="dxa"/>
            <w:tcBorders>
              <w:top w:val="nil"/>
              <w:left w:val="nil"/>
              <w:bottom w:val="single" w:sz="4" w:space="0" w:color="auto"/>
              <w:right w:val="single" w:sz="4" w:space="0" w:color="auto"/>
            </w:tcBorders>
            <w:shd w:val="clear" w:color="auto" w:fill="auto"/>
          </w:tcPr>
          <w:p w14:paraId="56648783" w14:textId="4B03C9CC" w:rsidR="000174AE" w:rsidRPr="00A76C93" w:rsidRDefault="00766EBA" w:rsidP="000174AE">
            <w:pPr>
              <w:pStyle w:val="NormalWeb"/>
              <w:rPr>
                <w:rFonts w:ascii="Century Gothic" w:hAnsi="Century Gothic"/>
              </w:rPr>
            </w:pPr>
            <w:r w:rsidRPr="00A76C93">
              <w:rPr>
                <w:rFonts w:ascii="Century Gothic" w:hAnsi="Century Gothic"/>
              </w:rPr>
              <w:t>7.1.2</w:t>
            </w:r>
          </w:p>
        </w:tc>
        <w:tc>
          <w:tcPr>
            <w:tcW w:w="5805" w:type="dxa"/>
            <w:tcBorders>
              <w:top w:val="nil"/>
              <w:left w:val="nil"/>
              <w:bottom w:val="single" w:sz="4" w:space="0" w:color="auto"/>
              <w:right w:val="single" w:sz="4" w:space="0" w:color="auto"/>
            </w:tcBorders>
            <w:shd w:val="clear" w:color="auto" w:fill="auto"/>
          </w:tcPr>
          <w:p w14:paraId="5CBE06CD" w14:textId="28410924" w:rsidR="00766EBA" w:rsidRPr="00A76C93" w:rsidRDefault="00766EBA" w:rsidP="00766EBA">
            <w:pPr>
              <w:rPr>
                <w:rFonts w:ascii="Century Gothic" w:hAnsi="Century Gothic" w:cs="Calibri"/>
              </w:rPr>
            </w:pPr>
            <w:r w:rsidRPr="00A76C93">
              <w:rPr>
                <w:rFonts w:ascii="Century Gothic" w:hAnsi="Century Gothic" w:cs="Calibri"/>
              </w:rPr>
              <w:t>The guidance refers to Warfarin here and anticoagulants elsewhere. It would be helpful if the final guidance could</w:t>
            </w:r>
          </w:p>
          <w:p w14:paraId="6208633F" w14:textId="76D4586D" w:rsidR="00766EBA" w:rsidRPr="00A76C93" w:rsidRDefault="00766EBA" w:rsidP="00766EBA">
            <w:pPr>
              <w:rPr>
                <w:rFonts w:ascii="Century Gothic" w:hAnsi="Century Gothic" w:cs="Calibri"/>
              </w:rPr>
            </w:pPr>
          </w:p>
          <w:p w14:paraId="3AF402FA" w14:textId="77777777" w:rsidR="009C2D1A" w:rsidRPr="00A76C93" w:rsidRDefault="00766EBA" w:rsidP="00766EBA">
            <w:pPr>
              <w:pStyle w:val="ListParagraph"/>
              <w:numPr>
                <w:ilvl w:val="0"/>
                <w:numId w:val="11"/>
              </w:numPr>
              <w:rPr>
                <w:rFonts w:ascii="Century Gothic" w:hAnsi="Century Gothic"/>
                <w:color w:val="333333"/>
                <w:shd w:val="clear" w:color="auto" w:fill="FFFFFF"/>
              </w:rPr>
            </w:pPr>
            <w:r w:rsidRPr="00A76C93">
              <w:rPr>
                <w:rFonts w:ascii="Century Gothic" w:hAnsi="Century Gothic"/>
                <w:color w:val="333333"/>
                <w:shd w:val="clear" w:color="auto" w:fill="FFFFFF"/>
              </w:rPr>
              <w:t xml:space="preserve">Refer to </w:t>
            </w:r>
            <w:r w:rsidRPr="00A76C93">
              <w:rPr>
                <w:rFonts w:ascii="Century Gothic" w:hAnsi="Century Gothic" w:cs="Calibri"/>
              </w:rPr>
              <w:t xml:space="preserve">anticoagulants throughout and explain why this is important – e.g. risk of </w:t>
            </w:r>
            <w:r w:rsidRPr="00A76C93">
              <w:rPr>
                <w:rFonts w:ascii="Century Gothic" w:hAnsi="Century Gothic" w:cs="Calibri"/>
              </w:rPr>
              <w:lastRenderedPageBreak/>
              <w:t xml:space="preserve">bleeding, not just pain thresholds? </w:t>
            </w:r>
            <w:r w:rsidR="00AC4539" w:rsidRPr="00A76C93">
              <w:rPr>
                <w:rFonts w:ascii="Century Gothic" w:hAnsi="Century Gothic" w:cs="Calibri"/>
              </w:rPr>
              <w:t xml:space="preserve"> This is stated for example on lines 489-490</w:t>
            </w:r>
            <w:r w:rsidR="00A25572" w:rsidRPr="00A76C93">
              <w:rPr>
                <w:rFonts w:ascii="Century Gothic" w:hAnsi="Century Gothic" w:cs="Calibri"/>
              </w:rPr>
              <w:t xml:space="preserve"> and 601-603</w:t>
            </w:r>
            <w:r w:rsidR="00AC4539" w:rsidRPr="00A76C93">
              <w:rPr>
                <w:rFonts w:ascii="Century Gothic" w:hAnsi="Century Gothic" w:cs="Calibri"/>
              </w:rPr>
              <w:t xml:space="preserve"> but not </w:t>
            </w:r>
            <w:r w:rsidR="00A25572" w:rsidRPr="00A76C93">
              <w:rPr>
                <w:rFonts w:ascii="Century Gothic" w:hAnsi="Century Gothic" w:cs="Calibri"/>
              </w:rPr>
              <w:t>on line 368</w:t>
            </w:r>
          </w:p>
          <w:p w14:paraId="4B51470E" w14:textId="0AC176B7" w:rsidR="00766EBA" w:rsidRPr="00A76C93" w:rsidRDefault="00A25572" w:rsidP="009C2D1A">
            <w:pPr>
              <w:pStyle w:val="ListParagraph"/>
              <w:ind w:left="360"/>
              <w:rPr>
                <w:rFonts w:ascii="Century Gothic" w:hAnsi="Century Gothic"/>
                <w:color w:val="333333"/>
                <w:shd w:val="clear" w:color="auto" w:fill="FFFFFF"/>
              </w:rPr>
            </w:pPr>
            <w:r w:rsidRPr="00A76C93">
              <w:rPr>
                <w:rFonts w:ascii="Century Gothic" w:hAnsi="Century Gothic" w:cs="Calibri"/>
              </w:rPr>
              <w:t xml:space="preserve"> </w:t>
            </w:r>
          </w:p>
          <w:p w14:paraId="0338191A" w14:textId="34AFAEAA" w:rsidR="00A25572" w:rsidRPr="00A76C93" w:rsidRDefault="00AC4539" w:rsidP="00766EBA">
            <w:pPr>
              <w:pStyle w:val="ListParagraph"/>
              <w:numPr>
                <w:ilvl w:val="0"/>
                <w:numId w:val="11"/>
              </w:numPr>
              <w:rPr>
                <w:rFonts w:ascii="Century Gothic" w:hAnsi="Century Gothic"/>
                <w:color w:val="333333"/>
                <w:shd w:val="clear" w:color="auto" w:fill="FFFFFF"/>
              </w:rPr>
            </w:pPr>
            <w:r w:rsidRPr="00A76C93">
              <w:rPr>
                <w:rFonts w:ascii="Century Gothic" w:hAnsi="Century Gothic"/>
                <w:color w:val="333333"/>
                <w:shd w:val="clear" w:color="auto" w:fill="FFFFFF"/>
              </w:rPr>
              <w:t xml:space="preserve">List the </w:t>
            </w:r>
            <w:r w:rsidRPr="00A76C93">
              <w:rPr>
                <w:rFonts w:ascii="Century Gothic" w:hAnsi="Century Gothic" w:cs="Calibri"/>
              </w:rPr>
              <w:t>anticoagulants</w:t>
            </w:r>
            <w:r w:rsidR="009C2D1A" w:rsidRPr="00A76C93">
              <w:rPr>
                <w:rFonts w:ascii="Century Gothic" w:hAnsi="Century Gothic" w:cs="Calibri"/>
              </w:rPr>
              <w:t xml:space="preserve"> that present the highest risk</w:t>
            </w:r>
            <w:r w:rsidRPr="00A76C93">
              <w:rPr>
                <w:rFonts w:ascii="Century Gothic" w:hAnsi="Century Gothic" w:cs="Calibri"/>
              </w:rPr>
              <w:t xml:space="preserve"> if </w:t>
            </w:r>
            <w:r w:rsidR="00DA660D" w:rsidRPr="00A76C93">
              <w:rPr>
                <w:rFonts w:ascii="Century Gothic" w:hAnsi="Century Gothic" w:cs="Calibri"/>
              </w:rPr>
              <w:t xml:space="preserve">the BSA considers they warrant </w:t>
            </w:r>
            <w:r w:rsidRPr="00A76C93">
              <w:rPr>
                <w:rFonts w:ascii="Century Gothic" w:hAnsi="Century Gothic" w:cs="Calibri"/>
              </w:rPr>
              <w:t>special consideration – e.g. warfarin, clopidogrel etc</w:t>
            </w:r>
            <w:r w:rsidR="009C2D1A" w:rsidRPr="00A76C93">
              <w:rPr>
                <w:rFonts w:ascii="Century Gothic" w:hAnsi="Century Gothic" w:cs="Calibri"/>
              </w:rPr>
              <w:t xml:space="preserve">. </w:t>
            </w:r>
          </w:p>
          <w:p w14:paraId="09ED3999" w14:textId="77777777" w:rsidR="009C2D1A" w:rsidRPr="00A76C93" w:rsidRDefault="009C2D1A" w:rsidP="009C2D1A">
            <w:pPr>
              <w:pStyle w:val="ListParagraph"/>
              <w:rPr>
                <w:rFonts w:ascii="Century Gothic" w:hAnsi="Century Gothic"/>
                <w:color w:val="333333"/>
                <w:shd w:val="clear" w:color="auto" w:fill="FFFFFF"/>
              </w:rPr>
            </w:pPr>
          </w:p>
          <w:p w14:paraId="52CC7D3C" w14:textId="67B81869" w:rsidR="009C2D1A" w:rsidRPr="00A76C93" w:rsidRDefault="009C2D1A" w:rsidP="00766EBA">
            <w:pPr>
              <w:pStyle w:val="ListParagraph"/>
              <w:numPr>
                <w:ilvl w:val="0"/>
                <w:numId w:val="11"/>
              </w:numPr>
              <w:rPr>
                <w:rFonts w:ascii="Century Gothic" w:hAnsi="Century Gothic"/>
                <w:color w:val="333333"/>
                <w:shd w:val="clear" w:color="auto" w:fill="FFFFFF"/>
              </w:rPr>
            </w:pPr>
            <w:r w:rsidRPr="00A76C93">
              <w:rPr>
                <w:rFonts w:ascii="Century Gothic" w:hAnsi="Century Gothic"/>
                <w:color w:val="333333"/>
                <w:shd w:val="clear" w:color="auto" w:fill="FFFFFF"/>
              </w:rPr>
              <w:t xml:space="preserve">Also list which procedures, if any, pose a particular risk. </w:t>
            </w:r>
          </w:p>
          <w:p w14:paraId="6C23D3FD" w14:textId="68E03118" w:rsidR="00A25572" w:rsidRPr="00A76C93" w:rsidRDefault="00A25572" w:rsidP="00A25572">
            <w:pPr>
              <w:rPr>
                <w:rFonts w:ascii="Century Gothic" w:hAnsi="Century Gothic"/>
                <w:color w:val="333333"/>
                <w:shd w:val="clear" w:color="auto" w:fill="FFFFFF"/>
              </w:rPr>
            </w:pPr>
          </w:p>
          <w:p w14:paraId="7BC85403" w14:textId="0675ABCF" w:rsidR="00A25572" w:rsidRPr="00A76C93" w:rsidRDefault="00A25572" w:rsidP="00A25572">
            <w:pPr>
              <w:rPr>
                <w:rFonts w:ascii="Century Gothic" w:hAnsi="Century Gothic"/>
                <w:color w:val="333333"/>
                <w:shd w:val="clear" w:color="auto" w:fill="FFFFFF"/>
              </w:rPr>
            </w:pPr>
            <w:r w:rsidRPr="00A76C93">
              <w:rPr>
                <w:rFonts w:ascii="Century Gothic" w:hAnsi="Century Gothic"/>
                <w:color w:val="333333"/>
                <w:shd w:val="clear" w:color="auto" w:fill="FFFFFF"/>
              </w:rPr>
              <w:t>If an increased risk of bleeding is defined, then it might be best to include a separate section on medications given the risk apply to more than one of the listed procedures in terms of causing a bleed</w:t>
            </w:r>
            <w:r w:rsidR="00230CE2">
              <w:rPr>
                <w:rFonts w:ascii="Century Gothic" w:hAnsi="Century Gothic"/>
                <w:color w:val="333333"/>
                <w:shd w:val="clear" w:color="auto" w:fill="FFFFFF"/>
              </w:rPr>
              <w:t xml:space="preserve">, and given the population more likely to present with impacted wax is likely to be aged 70 and older (the average age of a NHS hearing aid user) and more likely to be on </w:t>
            </w:r>
            <w:r w:rsidR="00230CE2" w:rsidRPr="00A76C93">
              <w:rPr>
                <w:rFonts w:ascii="Century Gothic" w:hAnsi="Century Gothic" w:cs="Calibri"/>
              </w:rPr>
              <w:t>anticoagulant</w:t>
            </w:r>
            <w:r w:rsidR="00230CE2">
              <w:rPr>
                <w:rFonts w:ascii="Century Gothic" w:hAnsi="Century Gothic" w:cs="Calibri"/>
              </w:rPr>
              <w:t xml:space="preserve"> compared to the general population. </w:t>
            </w:r>
          </w:p>
          <w:p w14:paraId="69AF9590" w14:textId="0117DF30" w:rsidR="00766EBA" w:rsidRPr="00A76C93" w:rsidRDefault="00766EBA" w:rsidP="00766EBA">
            <w:pPr>
              <w:rPr>
                <w:rFonts w:ascii="Century Gothic" w:hAnsi="Century Gothic" w:cs="Calibri"/>
              </w:rPr>
            </w:pPr>
          </w:p>
        </w:tc>
        <w:tc>
          <w:tcPr>
            <w:tcW w:w="4678" w:type="dxa"/>
            <w:tcBorders>
              <w:top w:val="nil"/>
              <w:left w:val="nil"/>
              <w:bottom w:val="single" w:sz="4" w:space="0" w:color="auto"/>
              <w:right w:val="single" w:sz="4" w:space="0" w:color="auto"/>
            </w:tcBorders>
            <w:shd w:val="clear" w:color="auto" w:fill="auto"/>
            <w:noWrap/>
          </w:tcPr>
          <w:p w14:paraId="1009A183" w14:textId="66E188AC" w:rsidR="000174AE" w:rsidRPr="00A76C93" w:rsidRDefault="000174AE" w:rsidP="000174AE">
            <w:pPr>
              <w:rPr>
                <w:rFonts w:ascii="Century Gothic" w:hAnsi="Century Gothic" w:cs="Calibri"/>
                <w:color w:val="000000"/>
              </w:rPr>
            </w:pPr>
          </w:p>
        </w:tc>
      </w:tr>
      <w:tr w:rsidR="000174AE" w:rsidRPr="00A76C93" w14:paraId="35BB9828" w14:textId="77777777" w:rsidTr="009D4452">
        <w:trPr>
          <w:trHeight w:val="285"/>
        </w:trPr>
        <w:tc>
          <w:tcPr>
            <w:tcW w:w="1134" w:type="dxa"/>
            <w:tcBorders>
              <w:top w:val="nil"/>
              <w:left w:val="single" w:sz="4" w:space="0" w:color="auto"/>
              <w:bottom w:val="single" w:sz="4" w:space="0" w:color="auto"/>
              <w:right w:val="single" w:sz="4" w:space="0" w:color="auto"/>
            </w:tcBorders>
            <w:shd w:val="clear" w:color="auto" w:fill="auto"/>
            <w:noWrap/>
          </w:tcPr>
          <w:p w14:paraId="1F652760" w14:textId="5B9D0F83" w:rsidR="000174AE" w:rsidRPr="00A76C93" w:rsidRDefault="000C7112" w:rsidP="000174AE">
            <w:pPr>
              <w:rPr>
                <w:rFonts w:ascii="Century Gothic" w:hAnsi="Century Gothic" w:cs="Calibri"/>
              </w:rPr>
            </w:pPr>
            <w:r w:rsidRPr="00A76C93">
              <w:rPr>
                <w:rFonts w:ascii="Century Gothic" w:hAnsi="Century Gothic" w:cs="Calibri"/>
              </w:rPr>
              <w:t>Appendix A</w:t>
            </w:r>
          </w:p>
        </w:tc>
        <w:tc>
          <w:tcPr>
            <w:tcW w:w="856" w:type="dxa"/>
            <w:tcBorders>
              <w:top w:val="nil"/>
              <w:left w:val="nil"/>
              <w:bottom w:val="single" w:sz="4" w:space="0" w:color="auto"/>
              <w:right w:val="single" w:sz="4" w:space="0" w:color="auto"/>
            </w:tcBorders>
            <w:shd w:val="clear" w:color="auto" w:fill="auto"/>
            <w:noWrap/>
          </w:tcPr>
          <w:p w14:paraId="06A45F23" w14:textId="0DA56B4D" w:rsidR="000174AE" w:rsidRPr="00A76C93" w:rsidRDefault="006E0DB7" w:rsidP="000174AE">
            <w:pPr>
              <w:rPr>
                <w:rFonts w:ascii="Century Gothic" w:hAnsi="Century Gothic" w:cs="Calibri"/>
              </w:rPr>
            </w:pPr>
            <w:r w:rsidRPr="00A76C93">
              <w:rPr>
                <w:rFonts w:ascii="Century Gothic" w:hAnsi="Century Gothic" w:cs="Calibri"/>
              </w:rPr>
              <w:t>All</w:t>
            </w:r>
          </w:p>
        </w:tc>
        <w:tc>
          <w:tcPr>
            <w:tcW w:w="1419" w:type="dxa"/>
            <w:tcBorders>
              <w:top w:val="nil"/>
              <w:left w:val="nil"/>
              <w:bottom w:val="single" w:sz="4" w:space="0" w:color="auto"/>
              <w:right w:val="single" w:sz="4" w:space="0" w:color="auto"/>
            </w:tcBorders>
            <w:shd w:val="clear" w:color="auto" w:fill="auto"/>
          </w:tcPr>
          <w:p w14:paraId="6AE287F5" w14:textId="27133556" w:rsidR="000174AE" w:rsidRPr="00A76C93" w:rsidRDefault="006E0DB7" w:rsidP="000174AE">
            <w:pPr>
              <w:pStyle w:val="NormalWeb"/>
              <w:rPr>
                <w:rFonts w:ascii="Century Gothic" w:hAnsi="Century Gothic"/>
              </w:rPr>
            </w:pPr>
            <w:r w:rsidRPr="00A76C93">
              <w:rPr>
                <w:rFonts w:ascii="Century Gothic" w:hAnsi="Century Gothic"/>
              </w:rPr>
              <w:t xml:space="preserve">Consent </w:t>
            </w:r>
          </w:p>
        </w:tc>
        <w:tc>
          <w:tcPr>
            <w:tcW w:w="5805" w:type="dxa"/>
            <w:tcBorders>
              <w:top w:val="nil"/>
              <w:left w:val="nil"/>
              <w:bottom w:val="single" w:sz="4" w:space="0" w:color="auto"/>
              <w:right w:val="single" w:sz="4" w:space="0" w:color="auto"/>
            </w:tcBorders>
            <w:shd w:val="clear" w:color="auto" w:fill="auto"/>
          </w:tcPr>
          <w:p w14:paraId="2A92F6DB" w14:textId="401AD1E4" w:rsidR="00A524BC" w:rsidRPr="00A76C93" w:rsidRDefault="000C7112" w:rsidP="000174AE">
            <w:pPr>
              <w:rPr>
                <w:rFonts w:ascii="Century Gothic" w:hAnsi="Century Gothic" w:cs="Calibri"/>
              </w:rPr>
            </w:pPr>
            <w:r w:rsidRPr="00A76C93">
              <w:rPr>
                <w:rFonts w:ascii="Century Gothic" w:hAnsi="Century Gothic" w:cs="Calibri"/>
              </w:rPr>
              <w:t xml:space="preserve">It is very helpful </w:t>
            </w:r>
            <w:r w:rsidR="00C11F7D" w:rsidRPr="00A76C93">
              <w:rPr>
                <w:rFonts w:ascii="Century Gothic" w:hAnsi="Century Gothic" w:cs="Calibri"/>
              </w:rPr>
              <w:t xml:space="preserve">that </w:t>
            </w:r>
            <w:r w:rsidRPr="00A76C93">
              <w:rPr>
                <w:rFonts w:ascii="Century Gothic" w:hAnsi="Century Gothic" w:cs="Calibri"/>
              </w:rPr>
              <w:t>an example consent form</w:t>
            </w:r>
            <w:r w:rsidR="00C11F7D" w:rsidRPr="00A76C93">
              <w:rPr>
                <w:rFonts w:ascii="Century Gothic" w:hAnsi="Century Gothic" w:cs="Calibri"/>
              </w:rPr>
              <w:t xml:space="preserve"> has been included</w:t>
            </w:r>
            <w:r w:rsidR="001C312C" w:rsidRPr="00A76C93">
              <w:rPr>
                <w:rFonts w:ascii="Century Gothic" w:hAnsi="Century Gothic" w:cs="Calibri"/>
              </w:rPr>
              <w:t xml:space="preserve">. </w:t>
            </w:r>
          </w:p>
          <w:p w14:paraId="5F308108" w14:textId="59505763" w:rsidR="00BD6F36" w:rsidRPr="00A76C93" w:rsidRDefault="00BD6F36" w:rsidP="000174AE">
            <w:pPr>
              <w:rPr>
                <w:rFonts w:ascii="Century Gothic" w:hAnsi="Century Gothic" w:cs="Calibri"/>
              </w:rPr>
            </w:pPr>
          </w:p>
          <w:p w14:paraId="6D889790" w14:textId="5BBE2B56" w:rsidR="001C312C" w:rsidRPr="00A76C93" w:rsidRDefault="001C312C" w:rsidP="000174AE">
            <w:pPr>
              <w:rPr>
                <w:rFonts w:ascii="Century Gothic" w:hAnsi="Century Gothic" w:cs="Calibri"/>
              </w:rPr>
            </w:pPr>
            <w:r w:rsidRPr="00A76C93">
              <w:rPr>
                <w:rFonts w:ascii="Century Gothic" w:hAnsi="Century Gothic" w:cs="Calibri"/>
              </w:rPr>
              <w:t>It is not clear however whether the current version would help achieve informed consent. For example:</w:t>
            </w:r>
          </w:p>
          <w:p w14:paraId="47FB6C24" w14:textId="6543A703" w:rsidR="001C312C" w:rsidRPr="00A76C93" w:rsidRDefault="001C312C" w:rsidP="001C312C">
            <w:pPr>
              <w:pStyle w:val="ListParagraph"/>
              <w:numPr>
                <w:ilvl w:val="0"/>
                <w:numId w:val="21"/>
              </w:numPr>
              <w:rPr>
                <w:rFonts w:ascii="Century Gothic" w:hAnsi="Century Gothic"/>
              </w:rPr>
            </w:pPr>
            <w:r w:rsidRPr="00A76C93">
              <w:rPr>
                <w:rFonts w:ascii="Century Gothic" w:hAnsi="Century Gothic"/>
              </w:rPr>
              <w:lastRenderedPageBreak/>
              <w:t xml:space="preserve">The NHS comments that for informed consent “the </w:t>
            </w:r>
            <w:r w:rsidRPr="00A76C93">
              <w:rPr>
                <w:rFonts w:ascii="Century Gothic" w:hAnsi="Century Gothic"/>
                <w:highlight w:val="yellow"/>
              </w:rPr>
              <w:t>person must be given all of the information about</w:t>
            </w:r>
            <w:r w:rsidRPr="00A76C93">
              <w:rPr>
                <w:rFonts w:ascii="Century Gothic" w:hAnsi="Century Gothic"/>
              </w:rPr>
              <w:t xml:space="preserve"> </w:t>
            </w:r>
            <w:r w:rsidRPr="00A76C93">
              <w:rPr>
                <w:rFonts w:ascii="Century Gothic" w:hAnsi="Century Gothic"/>
                <w:highlight w:val="yellow"/>
              </w:rPr>
              <w:t>what the treatment involves, including</w:t>
            </w:r>
            <w:r w:rsidRPr="00A76C93">
              <w:rPr>
                <w:rFonts w:ascii="Century Gothic" w:hAnsi="Century Gothic"/>
              </w:rPr>
              <w:t xml:space="preserve"> the benefits and </w:t>
            </w:r>
            <w:r w:rsidRPr="00A76C93">
              <w:rPr>
                <w:rFonts w:ascii="Century Gothic" w:hAnsi="Century Gothic"/>
                <w:highlight w:val="yellow"/>
              </w:rPr>
              <w:t>risks</w:t>
            </w:r>
            <w:r w:rsidRPr="00A76C93">
              <w:rPr>
                <w:rFonts w:ascii="Century Gothic" w:hAnsi="Century Gothic"/>
              </w:rPr>
              <w:t>, whether there are reasonable alternative treatments, and what will happen if treatment does not go ahead” (</w:t>
            </w:r>
            <w:hyperlink r:id="rId16" w:history="1">
              <w:r w:rsidRPr="00A76C93">
                <w:rPr>
                  <w:rStyle w:val="Hyperlink"/>
                  <w:rFonts w:ascii="Century Gothic" w:hAnsi="Century Gothic"/>
                </w:rPr>
                <w:t>https://www.nhs.uk/conditions/consent-to-treatment/</w:t>
              </w:r>
            </w:hyperlink>
            <w:r w:rsidRPr="00A76C93">
              <w:rPr>
                <w:rFonts w:ascii="Century Gothic" w:hAnsi="Century Gothic"/>
              </w:rPr>
              <w:t>)</w:t>
            </w:r>
          </w:p>
          <w:p w14:paraId="6F6B033E" w14:textId="77777777" w:rsidR="001C312C" w:rsidRPr="00A76C93" w:rsidRDefault="001C312C" w:rsidP="001C312C">
            <w:pPr>
              <w:pStyle w:val="ListParagraph"/>
              <w:ind w:left="360"/>
              <w:rPr>
                <w:rFonts w:ascii="Century Gothic" w:hAnsi="Century Gothic"/>
              </w:rPr>
            </w:pPr>
          </w:p>
          <w:p w14:paraId="0FF44C1B" w14:textId="1D172FFB" w:rsidR="00A524BC" w:rsidRPr="00A76C93" w:rsidRDefault="001C312C" w:rsidP="00A524BC">
            <w:pPr>
              <w:pStyle w:val="ListParagraph"/>
              <w:numPr>
                <w:ilvl w:val="0"/>
                <w:numId w:val="20"/>
              </w:numPr>
              <w:rPr>
                <w:rFonts w:ascii="Century Gothic" w:hAnsi="Century Gothic" w:cs="Calibri"/>
              </w:rPr>
            </w:pPr>
            <w:r w:rsidRPr="00A76C93">
              <w:rPr>
                <w:rFonts w:ascii="Century Gothic" w:hAnsi="Century Gothic" w:cs="Calibri"/>
              </w:rPr>
              <w:t>L</w:t>
            </w:r>
            <w:r w:rsidR="00BD6F36" w:rsidRPr="00A76C93">
              <w:rPr>
                <w:rFonts w:ascii="Century Gothic" w:hAnsi="Century Gothic" w:cs="Calibri"/>
              </w:rPr>
              <w:t xml:space="preserve">ine 717 </w:t>
            </w:r>
            <w:r w:rsidRPr="00A76C93">
              <w:rPr>
                <w:rFonts w:ascii="Century Gothic" w:hAnsi="Century Gothic" w:cs="Calibri"/>
              </w:rPr>
              <w:t xml:space="preserve">of the BSA guidance </w:t>
            </w:r>
            <w:r w:rsidR="00BD6F36" w:rsidRPr="00A76C93">
              <w:rPr>
                <w:rFonts w:ascii="Century Gothic" w:hAnsi="Century Gothic" w:cs="Calibri"/>
              </w:rPr>
              <w:t xml:space="preserve">suggests there is only a risk of temporary reduction in hearing. </w:t>
            </w:r>
            <w:r w:rsidR="003C1F04" w:rsidRPr="00A76C93">
              <w:rPr>
                <w:rFonts w:ascii="Century Gothic" w:hAnsi="Century Gothic" w:cs="Calibri"/>
              </w:rPr>
              <w:t xml:space="preserve"> </w:t>
            </w:r>
            <w:r w:rsidR="00BD6F36" w:rsidRPr="00A76C93">
              <w:rPr>
                <w:rFonts w:ascii="Century Gothic" w:hAnsi="Century Gothic" w:cs="Calibri"/>
              </w:rPr>
              <w:t>Although temporary reductions are more likely, there is also</w:t>
            </w:r>
            <w:r w:rsidR="00A524BC" w:rsidRPr="00A76C93">
              <w:rPr>
                <w:rFonts w:ascii="Century Gothic" w:hAnsi="Century Gothic" w:cs="Calibri"/>
              </w:rPr>
              <w:t xml:space="preserve"> a remote risk of a permanent hearing loss (see NICE CSK: </w:t>
            </w:r>
            <w:hyperlink r:id="rId17" w:anchor="!scenario:1" w:history="1">
              <w:r w:rsidR="00A524BC" w:rsidRPr="00A76C93">
                <w:rPr>
                  <w:rStyle w:val="Hyperlink"/>
                  <w:rFonts w:ascii="Century Gothic" w:hAnsi="Century Gothic"/>
                </w:rPr>
                <w:t>https://cks.nice.org.uk/earwax#!scenario:1</w:t>
              </w:r>
            </w:hyperlink>
            <w:r w:rsidR="003C1F04" w:rsidRPr="00A76C93">
              <w:rPr>
                <w:rFonts w:ascii="Century Gothic" w:hAnsi="Century Gothic"/>
              </w:rPr>
              <w:t>)</w:t>
            </w:r>
          </w:p>
          <w:p w14:paraId="1D9871D3" w14:textId="77777777" w:rsidR="003C1F04" w:rsidRPr="00A76C93" w:rsidRDefault="003C1F04" w:rsidP="003C1F04">
            <w:pPr>
              <w:pStyle w:val="ListParagraph"/>
              <w:ind w:left="360"/>
              <w:rPr>
                <w:rFonts w:ascii="Century Gothic" w:hAnsi="Century Gothic" w:cs="Calibri"/>
              </w:rPr>
            </w:pPr>
          </w:p>
          <w:p w14:paraId="68809E48" w14:textId="70A6A99F" w:rsidR="003C1F04" w:rsidRPr="00A76C93" w:rsidRDefault="003C1F04" w:rsidP="00A524BC">
            <w:pPr>
              <w:pStyle w:val="ListParagraph"/>
              <w:numPr>
                <w:ilvl w:val="0"/>
                <w:numId w:val="20"/>
              </w:numPr>
              <w:rPr>
                <w:rFonts w:ascii="Century Gothic" w:hAnsi="Century Gothic" w:cs="Calibri"/>
              </w:rPr>
            </w:pPr>
            <w:r w:rsidRPr="00A76C93">
              <w:rPr>
                <w:rFonts w:ascii="Century Gothic" w:hAnsi="Century Gothic" w:cs="Calibri"/>
              </w:rPr>
              <w:t xml:space="preserve">Taken together, if a person was to suffer a permanent hearing loss it is not clear whether the consent form would </w:t>
            </w:r>
            <w:r w:rsidR="00E73C8B">
              <w:rPr>
                <w:rFonts w:ascii="Century Gothic" w:hAnsi="Century Gothic" w:cs="Calibri"/>
              </w:rPr>
              <w:t>have met the threshold of informed consent</w:t>
            </w:r>
            <w:r w:rsidRPr="00A76C93">
              <w:rPr>
                <w:rFonts w:ascii="Century Gothic" w:hAnsi="Century Gothic" w:cs="Calibri"/>
              </w:rPr>
              <w:t>.</w:t>
            </w:r>
          </w:p>
          <w:p w14:paraId="04E92D69" w14:textId="4EE79F0A" w:rsidR="001C312C" w:rsidRPr="00A76C93" w:rsidRDefault="001C312C" w:rsidP="00A524BC">
            <w:pPr>
              <w:rPr>
                <w:rFonts w:ascii="Century Gothic" w:hAnsi="Century Gothic"/>
              </w:rPr>
            </w:pPr>
          </w:p>
          <w:p w14:paraId="476A3C89" w14:textId="60716C00" w:rsidR="000C7112" w:rsidRPr="00A76C93" w:rsidRDefault="003C1F04" w:rsidP="000174AE">
            <w:pPr>
              <w:rPr>
                <w:rFonts w:ascii="Century Gothic" w:hAnsi="Century Gothic"/>
              </w:rPr>
            </w:pPr>
            <w:r w:rsidRPr="00A76C93">
              <w:rPr>
                <w:rFonts w:ascii="Century Gothic" w:hAnsi="Century Gothic"/>
              </w:rPr>
              <w:t xml:space="preserve">In addition to this the section titled </w:t>
            </w:r>
            <w:r w:rsidR="000C7112" w:rsidRPr="00A76C93">
              <w:rPr>
                <w:rFonts w:ascii="Century Gothic" w:hAnsi="Century Gothic" w:cs="Calibri"/>
              </w:rPr>
              <w:t xml:space="preserve">“If a complication arises” </w:t>
            </w:r>
            <w:r w:rsidR="00C11F7D" w:rsidRPr="00A76C93">
              <w:rPr>
                <w:rFonts w:ascii="Century Gothic" w:hAnsi="Century Gothic" w:cs="Calibri"/>
              </w:rPr>
              <w:t>includes things which are not complications, but signs/issues that</w:t>
            </w:r>
            <w:r w:rsidR="00E73C8B">
              <w:rPr>
                <w:rFonts w:ascii="Century Gothic" w:hAnsi="Century Gothic" w:cs="Calibri"/>
              </w:rPr>
              <w:t xml:space="preserve"> would be discovered </w:t>
            </w:r>
            <w:r w:rsidR="00C11F7D" w:rsidRPr="00A76C93">
              <w:rPr>
                <w:rFonts w:ascii="Century Gothic" w:hAnsi="Century Gothic" w:cs="Calibri"/>
              </w:rPr>
              <w:t>only after removing some wax.</w:t>
            </w:r>
            <w:r w:rsidRPr="00A76C93">
              <w:rPr>
                <w:rFonts w:ascii="Century Gothic" w:hAnsi="Century Gothic" w:cs="Calibri"/>
              </w:rPr>
              <w:t xml:space="preserve"> </w:t>
            </w:r>
          </w:p>
          <w:p w14:paraId="3B0E246D" w14:textId="77777777" w:rsidR="00540375" w:rsidRPr="00A76C93" w:rsidRDefault="00540375" w:rsidP="000174AE">
            <w:pPr>
              <w:rPr>
                <w:rFonts w:ascii="Century Gothic" w:hAnsi="Century Gothic" w:cs="Calibri"/>
              </w:rPr>
            </w:pPr>
          </w:p>
          <w:p w14:paraId="09751699" w14:textId="55567087" w:rsidR="00540375" w:rsidRPr="00A76C93" w:rsidRDefault="006E0DB7" w:rsidP="000174AE">
            <w:pPr>
              <w:rPr>
                <w:rFonts w:ascii="Century Gothic" w:hAnsi="Century Gothic" w:cs="Calibri"/>
              </w:rPr>
            </w:pPr>
            <w:r w:rsidRPr="00A76C93">
              <w:rPr>
                <w:rFonts w:ascii="Century Gothic" w:hAnsi="Century Gothic" w:cs="Calibri"/>
              </w:rPr>
              <w:t xml:space="preserve">For </w:t>
            </w:r>
            <w:r w:rsidR="00540375" w:rsidRPr="00A76C93">
              <w:rPr>
                <w:rFonts w:ascii="Century Gothic" w:hAnsi="Century Gothic" w:cs="Calibri"/>
              </w:rPr>
              <w:t>example,</w:t>
            </w:r>
            <w:r w:rsidRPr="00A76C93">
              <w:rPr>
                <w:rFonts w:ascii="Century Gothic" w:hAnsi="Century Gothic" w:cs="Calibri"/>
              </w:rPr>
              <w:t xml:space="preserve"> if </w:t>
            </w:r>
            <w:r w:rsidR="00077DCC">
              <w:rPr>
                <w:rFonts w:ascii="Century Gothic" w:hAnsi="Century Gothic" w:cs="Calibri"/>
              </w:rPr>
              <w:t>an</w:t>
            </w:r>
            <w:r w:rsidRPr="00A76C93">
              <w:rPr>
                <w:rFonts w:ascii="Century Gothic" w:hAnsi="Century Gothic" w:cs="Calibri"/>
              </w:rPr>
              <w:t xml:space="preserve"> audiologist removed wax and found </w:t>
            </w:r>
          </w:p>
          <w:p w14:paraId="31AD0F40" w14:textId="2CA46798" w:rsidR="00C11F7D" w:rsidRPr="00A76C93" w:rsidRDefault="00540375" w:rsidP="00540375">
            <w:pPr>
              <w:pStyle w:val="ListParagraph"/>
              <w:numPr>
                <w:ilvl w:val="0"/>
                <w:numId w:val="22"/>
              </w:numPr>
              <w:rPr>
                <w:rFonts w:ascii="Century Gothic" w:hAnsi="Century Gothic" w:cs="Calibri"/>
              </w:rPr>
            </w:pPr>
            <w:r w:rsidRPr="00A76C93">
              <w:rPr>
                <w:rFonts w:ascii="Century Gothic" w:hAnsi="Century Gothic" w:cs="Calibri"/>
              </w:rPr>
              <w:t xml:space="preserve">evidence </w:t>
            </w:r>
            <w:r w:rsidR="006E0DB7" w:rsidRPr="00A76C93">
              <w:rPr>
                <w:rFonts w:ascii="Century Gothic" w:hAnsi="Century Gothic" w:cs="Calibri"/>
              </w:rPr>
              <w:t xml:space="preserve">of an infection </w:t>
            </w:r>
            <w:r w:rsidRPr="00A76C93">
              <w:rPr>
                <w:rFonts w:ascii="Century Gothic" w:hAnsi="Century Gothic" w:cs="Calibri"/>
              </w:rPr>
              <w:t>(line 730)</w:t>
            </w:r>
          </w:p>
          <w:p w14:paraId="3A26F79A" w14:textId="25C47EED" w:rsidR="00540375" w:rsidRPr="00A76C93" w:rsidRDefault="00540375" w:rsidP="00540375">
            <w:pPr>
              <w:pStyle w:val="ListParagraph"/>
              <w:numPr>
                <w:ilvl w:val="0"/>
                <w:numId w:val="22"/>
              </w:numPr>
              <w:rPr>
                <w:rFonts w:ascii="Century Gothic" w:hAnsi="Century Gothic" w:cs="Calibri"/>
              </w:rPr>
            </w:pPr>
            <w:r w:rsidRPr="00A76C93">
              <w:rPr>
                <w:rFonts w:ascii="Century Gothic" w:hAnsi="Century Gothic" w:cs="Calibri"/>
              </w:rPr>
              <w:lastRenderedPageBreak/>
              <w:t>previous damage (line 731)</w:t>
            </w:r>
          </w:p>
          <w:p w14:paraId="3218BEEC" w14:textId="553388CD" w:rsidR="006E0DB7" w:rsidRPr="00A76C93" w:rsidRDefault="006E0DB7" w:rsidP="000174AE">
            <w:pPr>
              <w:pStyle w:val="ListParagraph"/>
              <w:numPr>
                <w:ilvl w:val="0"/>
                <w:numId w:val="22"/>
              </w:numPr>
              <w:rPr>
                <w:rFonts w:ascii="Century Gothic" w:hAnsi="Century Gothic" w:cs="Calibri"/>
              </w:rPr>
            </w:pPr>
            <w:r w:rsidRPr="00A76C93">
              <w:rPr>
                <w:rFonts w:ascii="Century Gothic" w:hAnsi="Century Gothic" w:cs="Calibri"/>
              </w:rPr>
              <w:t>a foreign object</w:t>
            </w:r>
            <w:r w:rsidR="00540375" w:rsidRPr="00A76C93">
              <w:rPr>
                <w:rFonts w:ascii="Century Gothic" w:hAnsi="Century Gothic" w:cs="Calibri"/>
              </w:rPr>
              <w:t xml:space="preserve"> (line 734)</w:t>
            </w:r>
            <w:r w:rsidRPr="00A76C93">
              <w:rPr>
                <w:rFonts w:ascii="Century Gothic" w:hAnsi="Century Gothic" w:cs="Calibri"/>
              </w:rPr>
              <w:t xml:space="preserve"> etc.  </w:t>
            </w:r>
          </w:p>
          <w:p w14:paraId="58640B26" w14:textId="66AFB40C" w:rsidR="00540375" w:rsidRPr="00A76C93" w:rsidRDefault="00540375" w:rsidP="000174AE">
            <w:pPr>
              <w:rPr>
                <w:rFonts w:ascii="Century Gothic" w:hAnsi="Century Gothic" w:cs="Calibri"/>
              </w:rPr>
            </w:pPr>
            <w:r w:rsidRPr="00A76C93">
              <w:rPr>
                <w:rFonts w:ascii="Century Gothic" w:hAnsi="Century Gothic" w:cs="Calibri"/>
              </w:rPr>
              <w:t xml:space="preserve">it would </w:t>
            </w:r>
            <w:r w:rsidRPr="00A76C93">
              <w:rPr>
                <w:rFonts w:ascii="Century Gothic" w:hAnsi="Century Gothic" w:cs="Calibri"/>
                <w:b/>
                <w:bCs/>
              </w:rPr>
              <w:t>not</w:t>
            </w:r>
            <w:r w:rsidRPr="00A76C93">
              <w:rPr>
                <w:rFonts w:ascii="Century Gothic" w:hAnsi="Century Gothic" w:cs="Calibri"/>
              </w:rPr>
              <w:t xml:space="preserve"> be a complication of the procedure (a negative), but something discovered as a result of the procedure (a positive). </w:t>
            </w:r>
          </w:p>
          <w:p w14:paraId="7A5F08A8" w14:textId="55FD87D6" w:rsidR="000C7112" w:rsidRPr="00A76C93" w:rsidRDefault="000C7112" w:rsidP="000174AE">
            <w:pPr>
              <w:rPr>
                <w:rFonts w:ascii="Century Gothic" w:hAnsi="Century Gothic" w:cs="Calibri"/>
              </w:rPr>
            </w:pPr>
          </w:p>
          <w:p w14:paraId="7A50F501" w14:textId="3020B5C7" w:rsidR="00D05F14" w:rsidRPr="00A76C93" w:rsidRDefault="00D05F14" w:rsidP="000174AE">
            <w:pPr>
              <w:rPr>
                <w:rFonts w:ascii="Century Gothic" w:hAnsi="Century Gothic" w:cs="Calibri"/>
              </w:rPr>
            </w:pPr>
            <w:proofErr w:type="gramStart"/>
            <w:r w:rsidRPr="00A76C93">
              <w:rPr>
                <w:rFonts w:ascii="Century Gothic" w:hAnsi="Century Gothic" w:cs="Calibri"/>
              </w:rPr>
              <w:t>This is why</w:t>
            </w:r>
            <w:proofErr w:type="gramEnd"/>
            <w:r w:rsidRPr="00A76C93">
              <w:rPr>
                <w:rFonts w:ascii="Century Gothic" w:hAnsi="Century Gothic" w:cs="Calibri"/>
              </w:rPr>
              <w:t xml:space="preserve">, in our view, the consent form would benefit from a review and potentially reordering content and providing some additional information and </w:t>
            </w:r>
            <w:r w:rsidR="00077DCC">
              <w:rPr>
                <w:rFonts w:ascii="Century Gothic" w:hAnsi="Century Gothic" w:cs="Calibri"/>
              </w:rPr>
              <w:t xml:space="preserve">ideally </w:t>
            </w:r>
            <w:r w:rsidRPr="00A76C93">
              <w:rPr>
                <w:rFonts w:ascii="Century Gothic" w:hAnsi="Century Gothic" w:cs="Calibri"/>
              </w:rPr>
              <w:t>simple to understand data on risk.</w:t>
            </w:r>
          </w:p>
          <w:p w14:paraId="0F86BA14" w14:textId="4F3D3675" w:rsidR="000C7112" w:rsidRPr="00A76C93" w:rsidRDefault="000C7112" w:rsidP="000174AE">
            <w:pPr>
              <w:rPr>
                <w:rFonts w:ascii="Century Gothic" w:hAnsi="Century Gothic" w:cs="Calibri"/>
              </w:rPr>
            </w:pPr>
          </w:p>
        </w:tc>
        <w:tc>
          <w:tcPr>
            <w:tcW w:w="4678" w:type="dxa"/>
            <w:tcBorders>
              <w:top w:val="nil"/>
              <w:left w:val="nil"/>
              <w:bottom w:val="single" w:sz="4" w:space="0" w:color="auto"/>
              <w:right w:val="single" w:sz="4" w:space="0" w:color="auto"/>
            </w:tcBorders>
            <w:shd w:val="clear" w:color="auto" w:fill="auto"/>
            <w:noWrap/>
          </w:tcPr>
          <w:p w14:paraId="526560A3" w14:textId="2A6080B0" w:rsidR="00BD6F36" w:rsidRPr="00A76C93" w:rsidRDefault="00BD6F36" w:rsidP="000174AE">
            <w:pPr>
              <w:rPr>
                <w:rFonts w:ascii="Century Gothic" w:hAnsi="Century Gothic" w:cs="Calibri"/>
                <w:color w:val="000000"/>
              </w:rPr>
            </w:pPr>
            <w:r w:rsidRPr="00A76C93">
              <w:rPr>
                <w:rFonts w:ascii="Century Gothic" w:hAnsi="Century Gothic" w:cs="Calibri"/>
                <w:color w:val="000000"/>
              </w:rPr>
              <w:lastRenderedPageBreak/>
              <w:t>Review th</w:t>
            </w:r>
            <w:r w:rsidR="00401519" w:rsidRPr="00A76C93">
              <w:rPr>
                <w:rFonts w:ascii="Century Gothic" w:hAnsi="Century Gothic" w:cs="Calibri"/>
                <w:color w:val="000000"/>
              </w:rPr>
              <w:t>e</w:t>
            </w:r>
            <w:r w:rsidRPr="00A76C93">
              <w:rPr>
                <w:rFonts w:ascii="Century Gothic" w:hAnsi="Century Gothic" w:cs="Calibri"/>
                <w:color w:val="000000"/>
              </w:rPr>
              <w:t xml:space="preserve"> consent form.</w:t>
            </w:r>
          </w:p>
          <w:p w14:paraId="2E4A5FCF" w14:textId="71EA6184" w:rsidR="00BD6F36" w:rsidRDefault="00BD6F36" w:rsidP="000174AE">
            <w:pPr>
              <w:rPr>
                <w:rFonts w:ascii="Century Gothic" w:hAnsi="Century Gothic" w:cs="Calibri"/>
                <w:color w:val="000000"/>
              </w:rPr>
            </w:pPr>
          </w:p>
          <w:p w14:paraId="47ABF712" w14:textId="4DC14AA7" w:rsidR="00077DCC" w:rsidRDefault="00077DCC" w:rsidP="000174AE">
            <w:pPr>
              <w:rPr>
                <w:rFonts w:ascii="Century Gothic" w:hAnsi="Century Gothic" w:cs="Calibri"/>
                <w:color w:val="000000"/>
              </w:rPr>
            </w:pPr>
            <w:r>
              <w:rPr>
                <w:rFonts w:ascii="Century Gothic" w:hAnsi="Century Gothic" w:cs="Calibri"/>
                <w:color w:val="000000"/>
              </w:rPr>
              <w:t xml:space="preserve">We think it is very important to provide guidance on a consent form, so that patients can make informed decisions.  We also appreciate how </w:t>
            </w:r>
            <w:r>
              <w:rPr>
                <w:rFonts w:ascii="Century Gothic" w:hAnsi="Century Gothic" w:cs="Calibri"/>
                <w:color w:val="000000"/>
              </w:rPr>
              <w:lastRenderedPageBreak/>
              <w:t xml:space="preserve">difficult it is to create a template consent form.  </w:t>
            </w:r>
          </w:p>
          <w:p w14:paraId="0B59D52B" w14:textId="77777777" w:rsidR="00077DCC" w:rsidRPr="00A76C93" w:rsidRDefault="00077DCC" w:rsidP="000174AE">
            <w:pPr>
              <w:rPr>
                <w:rFonts w:ascii="Century Gothic" w:hAnsi="Century Gothic" w:cs="Calibri"/>
                <w:color w:val="000000"/>
              </w:rPr>
            </w:pPr>
          </w:p>
          <w:p w14:paraId="1B64108E" w14:textId="79A71218" w:rsidR="00BD6F36" w:rsidRPr="00A76C93" w:rsidRDefault="00077DCC" w:rsidP="000174AE">
            <w:pPr>
              <w:rPr>
                <w:rFonts w:ascii="Century Gothic" w:hAnsi="Century Gothic" w:cs="Calibri"/>
                <w:color w:val="000000"/>
              </w:rPr>
            </w:pPr>
            <w:r>
              <w:rPr>
                <w:rFonts w:ascii="Century Gothic" w:hAnsi="Century Gothic" w:cs="Calibri"/>
                <w:color w:val="000000"/>
              </w:rPr>
              <w:t>As w</w:t>
            </w:r>
            <w:r w:rsidR="00BD6F36" w:rsidRPr="00A76C93">
              <w:rPr>
                <w:rFonts w:ascii="Century Gothic" w:hAnsi="Century Gothic" w:cs="Calibri"/>
                <w:color w:val="000000"/>
              </w:rPr>
              <w:t>e provide medical malpractice insurance to individual audiologists</w:t>
            </w:r>
            <w:r w:rsidR="00401519" w:rsidRPr="00A76C93">
              <w:rPr>
                <w:rFonts w:ascii="Century Gothic" w:hAnsi="Century Gothic" w:cs="Calibri"/>
                <w:color w:val="000000"/>
              </w:rPr>
              <w:t xml:space="preserve"> </w:t>
            </w:r>
            <w:r>
              <w:rPr>
                <w:rFonts w:ascii="Century Gothic" w:hAnsi="Century Gothic" w:cs="Calibri"/>
                <w:color w:val="000000"/>
              </w:rPr>
              <w:t xml:space="preserve">and would like to ensure any consent form reduces rather than increases risks, </w:t>
            </w:r>
            <w:r w:rsidR="00BD6F36" w:rsidRPr="00A76C93">
              <w:rPr>
                <w:rFonts w:ascii="Century Gothic" w:hAnsi="Century Gothic" w:cs="Calibri"/>
                <w:color w:val="000000"/>
              </w:rPr>
              <w:t>we would</w:t>
            </w:r>
            <w:r w:rsidR="00401519" w:rsidRPr="00A76C93">
              <w:rPr>
                <w:rFonts w:ascii="Century Gothic" w:hAnsi="Century Gothic" w:cs="Calibri"/>
                <w:color w:val="000000"/>
              </w:rPr>
              <w:t xml:space="preserve"> </w:t>
            </w:r>
            <w:r w:rsidR="00BD6F36" w:rsidRPr="00A76C93">
              <w:rPr>
                <w:rFonts w:ascii="Century Gothic" w:hAnsi="Century Gothic" w:cs="Calibri"/>
                <w:color w:val="000000"/>
              </w:rPr>
              <w:t>be happy to work with the BSA to get this right, including looking at whether further expert – clinical and legal – may be of value</w:t>
            </w:r>
            <w:r w:rsidR="00401519" w:rsidRPr="00A76C93">
              <w:rPr>
                <w:rFonts w:ascii="Century Gothic" w:hAnsi="Century Gothic" w:cs="Calibri"/>
                <w:color w:val="000000"/>
              </w:rPr>
              <w:t xml:space="preserve">. </w:t>
            </w:r>
          </w:p>
          <w:p w14:paraId="1CF9D3E5" w14:textId="3742BD0D" w:rsidR="00BD6F36" w:rsidRPr="00A76C93" w:rsidRDefault="00BD6F36" w:rsidP="000174AE">
            <w:pPr>
              <w:rPr>
                <w:rFonts w:ascii="Century Gothic" w:hAnsi="Century Gothic" w:cs="Calibri"/>
                <w:color w:val="000000"/>
              </w:rPr>
            </w:pPr>
          </w:p>
          <w:p w14:paraId="3E9D5B12" w14:textId="79E57C87" w:rsidR="0061545D" w:rsidRPr="00A76C93" w:rsidRDefault="0061545D" w:rsidP="000C7112">
            <w:pPr>
              <w:rPr>
                <w:rFonts w:ascii="Century Gothic" w:hAnsi="Century Gothic" w:cs="Calibri"/>
                <w:color w:val="000000"/>
              </w:rPr>
            </w:pPr>
          </w:p>
        </w:tc>
      </w:tr>
      <w:tr w:rsidR="000174AE" w:rsidRPr="00A76C93" w14:paraId="5732738D" w14:textId="77777777" w:rsidTr="009D4452">
        <w:trPr>
          <w:trHeight w:val="285"/>
        </w:trPr>
        <w:tc>
          <w:tcPr>
            <w:tcW w:w="1134" w:type="dxa"/>
            <w:tcBorders>
              <w:top w:val="nil"/>
              <w:left w:val="single" w:sz="4" w:space="0" w:color="auto"/>
              <w:bottom w:val="single" w:sz="4" w:space="0" w:color="auto"/>
              <w:right w:val="single" w:sz="4" w:space="0" w:color="auto"/>
            </w:tcBorders>
            <w:shd w:val="clear" w:color="auto" w:fill="auto"/>
            <w:noWrap/>
          </w:tcPr>
          <w:p w14:paraId="46F1D74E" w14:textId="5E193C27" w:rsidR="000174AE" w:rsidRPr="00A76C93" w:rsidRDefault="00AD0D1E" w:rsidP="000174AE">
            <w:pPr>
              <w:rPr>
                <w:rFonts w:ascii="Century Gothic" w:hAnsi="Century Gothic" w:cs="Calibri"/>
              </w:rPr>
            </w:pPr>
            <w:r w:rsidRPr="00A76C93">
              <w:rPr>
                <w:rFonts w:ascii="Century Gothic" w:hAnsi="Century Gothic" w:cs="Calibri"/>
              </w:rPr>
              <w:lastRenderedPageBreak/>
              <w:t>10</w:t>
            </w:r>
          </w:p>
        </w:tc>
        <w:tc>
          <w:tcPr>
            <w:tcW w:w="856" w:type="dxa"/>
            <w:tcBorders>
              <w:top w:val="nil"/>
              <w:left w:val="nil"/>
              <w:bottom w:val="single" w:sz="4" w:space="0" w:color="auto"/>
              <w:right w:val="single" w:sz="4" w:space="0" w:color="auto"/>
            </w:tcBorders>
            <w:shd w:val="clear" w:color="auto" w:fill="auto"/>
            <w:noWrap/>
          </w:tcPr>
          <w:p w14:paraId="46DD98D0" w14:textId="243C39F5" w:rsidR="000174AE" w:rsidRPr="00A76C93" w:rsidRDefault="00AD0D1E" w:rsidP="000174AE">
            <w:pPr>
              <w:rPr>
                <w:rFonts w:ascii="Century Gothic" w:hAnsi="Century Gothic" w:cs="Calibri"/>
              </w:rPr>
            </w:pPr>
            <w:r w:rsidRPr="00A76C93">
              <w:rPr>
                <w:rFonts w:ascii="Century Gothic" w:hAnsi="Century Gothic" w:cs="Calibri"/>
              </w:rPr>
              <w:t>General</w:t>
            </w:r>
          </w:p>
        </w:tc>
        <w:tc>
          <w:tcPr>
            <w:tcW w:w="1419" w:type="dxa"/>
            <w:tcBorders>
              <w:top w:val="nil"/>
              <w:left w:val="nil"/>
              <w:bottom w:val="single" w:sz="4" w:space="0" w:color="auto"/>
              <w:right w:val="single" w:sz="4" w:space="0" w:color="auto"/>
            </w:tcBorders>
            <w:shd w:val="clear" w:color="auto" w:fill="auto"/>
          </w:tcPr>
          <w:p w14:paraId="3E3C365C" w14:textId="1AD3CEE1" w:rsidR="000174AE" w:rsidRPr="00A76C93" w:rsidRDefault="00AD0D1E" w:rsidP="000174AE">
            <w:pPr>
              <w:pStyle w:val="NormalWeb"/>
              <w:rPr>
                <w:rFonts w:ascii="Century Gothic" w:hAnsi="Century Gothic"/>
              </w:rPr>
            </w:pPr>
            <w:r w:rsidRPr="00A76C93">
              <w:rPr>
                <w:rFonts w:ascii="Century Gothic" w:hAnsi="Century Gothic"/>
              </w:rPr>
              <w:t xml:space="preserve">General </w:t>
            </w:r>
          </w:p>
        </w:tc>
        <w:tc>
          <w:tcPr>
            <w:tcW w:w="5805" w:type="dxa"/>
            <w:tcBorders>
              <w:top w:val="nil"/>
              <w:left w:val="nil"/>
              <w:bottom w:val="single" w:sz="4" w:space="0" w:color="auto"/>
              <w:right w:val="single" w:sz="4" w:space="0" w:color="auto"/>
            </w:tcBorders>
            <w:shd w:val="clear" w:color="auto" w:fill="auto"/>
          </w:tcPr>
          <w:p w14:paraId="5D420E30" w14:textId="5B7E5205" w:rsidR="000174AE" w:rsidRPr="00A76C93" w:rsidRDefault="00AD0D1E" w:rsidP="005577AB">
            <w:pPr>
              <w:rPr>
                <w:rFonts w:ascii="Century Gothic" w:hAnsi="Century Gothic"/>
              </w:rPr>
            </w:pPr>
            <w:r w:rsidRPr="00A76C93">
              <w:rPr>
                <w:rFonts w:ascii="Century Gothic" w:hAnsi="Century Gothic"/>
              </w:rPr>
              <w:t>There are several references to regulating pressure</w:t>
            </w:r>
            <w:r w:rsidR="005577AB" w:rsidRPr="00A76C93">
              <w:rPr>
                <w:rFonts w:ascii="Century Gothic" w:hAnsi="Century Gothic"/>
              </w:rPr>
              <w:t xml:space="preserve"> </w:t>
            </w:r>
            <w:r w:rsidRPr="00A76C93">
              <w:rPr>
                <w:rFonts w:ascii="Century Gothic" w:hAnsi="Century Gothic"/>
              </w:rPr>
              <w:t>but no specific advice regarding what pressure to use</w:t>
            </w:r>
            <w:r w:rsidR="005577AB" w:rsidRPr="00A76C93">
              <w:rPr>
                <w:rFonts w:ascii="Century Gothic" w:hAnsi="Century Gothic"/>
              </w:rPr>
              <w:t>. It would be helpful to provide more information or refer readers to specific and more detailed advice here.</w:t>
            </w:r>
          </w:p>
          <w:p w14:paraId="26FE3640" w14:textId="280EDD07" w:rsidR="005577AB" w:rsidRPr="00A76C93" w:rsidRDefault="005577AB" w:rsidP="005577AB">
            <w:pPr>
              <w:rPr>
                <w:rFonts w:ascii="Century Gothic" w:hAnsi="Century Gothic" w:cs="Calibri"/>
              </w:rPr>
            </w:pPr>
          </w:p>
        </w:tc>
        <w:tc>
          <w:tcPr>
            <w:tcW w:w="4678" w:type="dxa"/>
            <w:tcBorders>
              <w:top w:val="nil"/>
              <w:left w:val="nil"/>
              <w:bottom w:val="single" w:sz="4" w:space="0" w:color="auto"/>
              <w:right w:val="single" w:sz="4" w:space="0" w:color="auto"/>
            </w:tcBorders>
            <w:shd w:val="clear" w:color="auto" w:fill="auto"/>
            <w:noWrap/>
          </w:tcPr>
          <w:p w14:paraId="0173EC07" w14:textId="34679787" w:rsidR="000174AE" w:rsidRPr="00A76C93" w:rsidRDefault="000174AE" w:rsidP="000174AE">
            <w:pPr>
              <w:rPr>
                <w:rFonts w:ascii="Century Gothic" w:hAnsi="Century Gothic" w:cs="Calibri"/>
                <w:color w:val="000000"/>
              </w:rPr>
            </w:pPr>
          </w:p>
        </w:tc>
      </w:tr>
      <w:tr w:rsidR="005577AB" w:rsidRPr="00A76C93" w14:paraId="56599F1D" w14:textId="77777777" w:rsidTr="009D4452">
        <w:trPr>
          <w:trHeight w:val="285"/>
        </w:trPr>
        <w:tc>
          <w:tcPr>
            <w:tcW w:w="1134" w:type="dxa"/>
            <w:tcBorders>
              <w:top w:val="nil"/>
              <w:left w:val="single" w:sz="4" w:space="0" w:color="auto"/>
              <w:bottom w:val="single" w:sz="4" w:space="0" w:color="auto"/>
              <w:right w:val="single" w:sz="4" w:space="0" w:color="auto"/>
            </w:tcBorders>
            <w:shd w:val="clear" w:color="auto" w:fill="auto"/>
            <w:noWrap/>
          </w:tcPr>
          <w:p w14:paraId="4118FA9C" w14:textId="3D1365F5" w:rsidR="005577AB" w:rsidRPr="00A76C93" w:rsidRDefault="005577AB" w:rsidP="005577AB">
            <w:pPr>
              <w:rPr>
                <w:rFonts w:ascii="Century Gothic" w:hAnsi="Century Gothic" w:cs="Calibri"/>
              </w:rPr>
            </w:pPr>
            <w:proofErr w:type="gramStart"/>
            <w:r w:rsidRPr="00A76C93">
              <w:rPr>
                <w:rFonts w:ascii="Century Gothic" w:hAnsi="Century Gothic"/>
              </w:rPr>
              <w:t>Appendix  C</w:t>
            </w:r>
            <w:proofErr w:type="gramEnd"/>
          </w:p>
        </w:tc>
        <w:tc>
          <w:tcPr>
            <w:tcW w:w="856" w:type="dxa"/>
            <w:tcBorders>
              <w:top w:val="nil"/>
              <w:left w:val="nil"/>
              <w:bottom w:val="single" w:sz="4" w:space="0" w:color="auto"/>
              <w:right w:val="single" w:sz="4" w:space="0" w:color="auto"/>
            </w:tcBorders>
            <w:shd w:val="clear" w:color="auto" w:fill="auto"/>
            <w:noWrap/>
          </w:tcPr>
          <w:p w14:paraId="7652F714" w14:textId="2C3B4ECF" w:rsidR="005577AB" w:rsidRPr="00A76C93" w:rsidRDefault="005577AB" w:rsidP="005577AB">
            <w:pPr>
              <w:rPr>
                <w:rFonts w:ascii="Century Gothic" w:hAnsi="Century Gothic" w:cs="Calibri"/>
              </w:rPr>
            </w:pPr>
            <w:r w:rsidRPr="00A76C93">
              <w:rPr>
                <w:rFonts w:ascii="Century Gothic" w:hAnsi="Century Gothic" w:cs="Calibri"/>
              </w:rPr>
              <w:t>General</w:t>
            </w:r>
          </w:p>
        </w:tc>
        <w:tc>
          <w:tcPr>
            <w:tcW w:w="1419" w:type="dxa"/>
            <w:tcBorders>
              <w:top w:val="nil"/>
              <w:left w:val="nil"/>
              <w:bottom w:val="single" w:sz="4" w:space="0" w:color="auto"/>
              <w:right w:val="single" w:sz="4" w:space="0" w:color="auto"/>
            </w:tcBorders>
            <w:shd w:val="clear" w:color="auto" w:fill="auto"/>
          </w:tcPr>
          <w:p w14:paraId="7A4B16C4" w14:textId="77777777" w:rsidR="005577AB" w:rsidRPr="00A76C93" w:rsidRDefault="005577AB" w:rsidP="005577AB">
            <w:pPr>
              <w:rPr>
                <w:rFonts w:ascii="Century Gothic" w:hAnsi="Century Gothic"/>
              </w:rPr>
            </w:pPr>
            <w:r w:rsidRPr="00A76C93">
              <w:rPr>
                <w:rFonts w:ascii="Century Gothic" w:hAnsi="Century Gothic"/>
              </w:rPr>
              <w:t>Cleaning</w:t>
            </w:r>
          </w:p>
          <w:p w14:paraId="67DDB43F" w14:textId="04F1A5E7" w:rsidR="005577AB" w:rsidRPr="00A76C93" w:rsidRDefault="005577AB" w:rsidP="005577AB">
            <w:pPr>
              <w:pStyle w:val="NormalWeb"/>
              <w:rPr>
                <w:rFonts w:ascii="Century Gothic" w:hAnsi="Century Gothic"/>
              </w:rPr>
            </w:pPr>
          </w:p>
        </w:tc>
        <w:tc>
          <w:tcPr>
            <w:tcW w:w="5805" w:type="dxa"/>
            <w:tcBorders>
              <w:top w:val="nil"/>
              <w:left w:val="nil"/>
              <w:bottom w:val="single" w:sz="4" w:space="0" w:color="auto"/>
              <w:right w:val="single" w:sz="4" w:space="0" w:color="auto"/>
            </w:tcBorders>
            <w:shd w:val="clear" w:color="auto" w:fill="auto"/>
          </w:tcPr>
          <w:p w14:paraId="2DB5468E" w14:textId="38642145" w:rsidR="005577AB" w:rsidRPr="00A76C93" w:rsidRDefault="005577AB" w:rsidP="005577AB">
            <w:pPr>
              <w:rPr>
                <w:rFonts w:ascii="Century Gothic" w:hAnsi="Century Gothic"/>
              </w:rPr>
            </w:pPr>
            <w:r w:rsidRPr="00A76C93">
              <w:rPr>
                <w:rFonts w:ascii="Century Gothic" w:hAnsi="Century Gothic"/>
              </w:rPr>
              <w:t xml:space="preserve">Whilst the suction tips themselves are single use and disposable, it would be helpful to some readers if the cleaning advice could also be included to ensure the suction tank and suction hose do not become contaminated. </w:t>
            </w:r>
            <w:bookmarkStart w:id="0" w:name="_GoBack"/>
            <w:bookmarkEnd w:id="0"/>
          </w:p>
          <w:p w14:paraId="3F58CA00" w14:textId="0F0C7F04" w:rsidR="005577AB" w:rsidRPr="00A76C93" w:rsidRDefault="005577AB" w:rsidP="005577AB">
            <w:pPr>
              <w:rPr>
                <w:rFonts w:ascii="Century Gothic" w:hAnsi="Century Gothic" w:cs="Calibri"/>
              </w:rPr>
            </w:pPr>
          </w:p>
        </w:tc>
        <w:tc>
          <w:tcPr>
            <w:tcW w:w="4678" w:type="dxa"/>
            <w:tcBorders>
              <w:top w:val="nil"/>
              <w:left w:val="nil"/>
              <w:bottom w:val="single" w:sz="4" w:space="0" w:color="auto"/>
              <w:right w:val="single" w:sz="4" w:space="0" w:color="auto"/>
            </w:tcBorders>
            <w:shd w:val="clear" w:color="auto" w:fill="auto"/>
            <w:noWrap/>
          </w:tcPr>
          <w:p w14:paraId="4C4A382B" w14:textId="77777777" w:rsidR="005577AB" w:rsidRPr="00A76C93" w:rsidRDefault="005577AB" w:rsidP="005577AB">
            <w:pPr>
              <w:rPr>
                <w:rFonts w:ascii="Century Gothic" w:hAnsi="Century Gothic" w:cs="Calibri"/>
                <w:color w:val="000000"/>
              </w:rPr>
            </w:pPr>
          </w:p>
        </w:tc>
      </w:tr>
    </w:tbl>
    <w:p w14:paraId="55C13E54" w14:textId="32321D1D" w:rsidR="003B0087" w:rsidRPr="00A76C93" w:rsidRDefault="003B0087" w:rsidP="00134D0C">
      <w:pPr>
        <w:rPr>
          <w:rFonts w:ascii="Century Gothic" w:hAnsi="Century Gothic"/>
        </w:rPr>
      </w:pPr>
    </w:p>
    <w:p w14:paraId="4793A412" w14:textId="77777777" w:rsidR="00B86529" w:rsidRPr="00A76C93" w:rsidRDefault="00B86529" w:rsidP="00134D0C">
      <w:pPr>
        <w:rPr>
          <w:rFonts w:ascii="Century Gothic" w:hAnsi="Century Gothic"/>
        </w:rPr>
      </w:pPr>
    </w:p>
    <w:sectPr w:rsidR="00B86529" w:rsidRPr="00A76C93" w:rsidSect="00134D0C">
      <w:headerReference w:type="default" r:id="rId1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9B7E8E" w14:textId="77777777" w:rsidR="00BE0428" w:rsidRDefault="00BE0428" w:rsidP="004426BB">
      <w:r>
        <w:separator/>
      </w:r>
    </w:p>
  </w:endnote>
  <w:endnote w:type="continuationSeparator" w:id="0">
    <w:p w14:paraId="6A4B6958" w14:textId="77777777" w:rsidR="00BE0428" w:rsidRDefault="00BE0428" w:rsidP="00442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D61932" w14:textId="77777777" w:rsidR="00BE0428" w:rsidRDefault="00BE0428" w:rsidP="004426BB">
      <w:r>
        <w:separator/>
      </w:r>
    </w:p>
  </w:footnote>
  <w:footnote w:type="continuationSeparator" w:id="0">
    <w:p w14:paraId="3D9C6AB3" w14:textId="77777777" w:rsidR="00BE0428" w:rsidRDefault="00BE0428" w:rsidP="004426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1934CC" w14:textId="0B9F10A7" w:rsidR="00E607C4" w:rsidRPr="00241DD8" w:rsidRDefault="00E607C4" w:rsidP="00241DD8">
    <w:pPr>
      <w:rPr>
        <w:rFonts w:ascii="Century Gothic" w:hAnsi="Century Gothic"/>
      </w:rPr>
    </w:pPr>
    <w:r w:rsidRPr="00241DD8">
      <w:rPr>
        <w:rFonts w:ascii="Century Gothic" w:hAnsi="Century Gothic"/>
      </w:rPr>
      <w:t xml:space="preserve">NCHA response DEADLINE 12.00, 2 Dec. Email to  </w:t>
    </w:r>
    <w:hyperlink r:id="rId1" w:history="1">
      <w:r w:rsidRPr="00241DD8">
        <w:rPr>
          <w:rStyle w:val="Hyperlink"/>
          <w:rFonts w:ascii="Century Gothic" w:hAnsi="Century Gothic" w:cs="Arial"/>
          <w:color w:val="AE0014"/>
        </w:rPr>
        <w:t>bsa@thebsa.org.uk</w:t>
      </w:r>
    </w:hyperlink>
    <w:r w:rsidRPr="00241DD8">
      <w:rPr>
        <w:rFonts w:ascii="Century Gothic" w:hAnsi="Century Gothic" w:cs="Arial"/>
        <w:color w:val="000000"/>
      </w:rPr>
      <w:t>.</w:t>
    </w:r>
  </w:p>
  <w:p w14:paraId="2201DC84" w14:textId="1C0B1A4D" w:rsidR="00E607C4" w:rsidRPr="002E3AAE" w:rsidRDefault="00E607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2782C"/>
    <w:multiLevelType w:val="multilevel"/>
    <w:tmpl w:val="EC16A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1F474F"/>
    <w:multiLevelType w:val="hybridMultilevel"/>
    <w:tmpl w:val="A9E8B5C4"/>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C75401"/>
    <w:multiLevelType w:val="hybridMultilevel"/>
    <w:tmpl w:val="CFFA6A12"/>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7A75CC"/>
    <w:multiLevelType w:val="hybridMultilevel"/>
    <w:tmpl w:val="E624786C"/>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F13E6A"/>
    <w:multiLevelType w:val="hybridMultilevel"/>
    <w:tmpl w:val="67B86646"/>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FB0E41"/>
    <w:multiLevelType w:val="hybridMultilevel"/>
    <w:tmpl w:val="69BCABE8"/>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632E94"/>
    <w:multiLevelType w:val="hybridMultilevel"/>
    <w:tmpl w:val="C686BE54"/>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A125AEA"/>
    <w:multiLevelType w:val="hybridMultilevel"/>
    <w:tmpl w:val="FDCC27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2FB2A35"/>
    <w:multiLevelType w:val="hybridMultilevel"/>
    <w:tmpl w:val="B602EE52"/>
    <w:lvl w:ilvl="0" w:tplc="E2EAEAC2">
      <w:start w:val="7"/>
      <w:numFmt w:val="bullet"/>
      <w:lvlText w:val="-"/>
      <w:lvlJc w:val="left"/>
      <w:pPr>
        <w:ind w:left="720" w:hanging="360"/>
      </w:pPr>
      <w:rPr>
        <w:rFonts w:ascii="Century Gothic" w:eastAsia="Times New Roman" w:hAnsi="Century Gothic" w:cs="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481F18"/>
    <w:multiLevelType w:val="hybridMultilevel"/>
    <w:tmpl w:val="2EC47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914B88"/>
    <w:multiLevelType w:val="hybridMultilevel"/>
    <w:tmpl w:val="B0A4164E"/>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ABC358C"/>
    <w:multiLevelType w:val="hybridMultilevel"/>
    <w:tmpl w:val="F754F07E"/>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B6627CC"/>
    <w:multiLevelType w:val="hybridMultilevel"/>
    <w:tmpl w:val="D64CC996"/>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B7264B4"/>
    <w:multiLevelType w:val="hybridMultilevel"/>
    <w:tmpl w:val="8DC2EFAE"/>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E8538BA"/>
    <w:multiLevelType w:val="hybridMultilevel"/>
    <w:tmpl w:val="5A8C083E"/>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720" w:hanging="360"/>
      </w:pPr>
      <w:rPr>
        <w:rFonts w:ascii="Courier New" w:hAnsi="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5" w15:restartNumberingAfterBreak="0">
    <w:nsid w:val="409C664A"/>
    <w:multiLevelType w:val="multilevel"/>
    <w:tmpl w:val="DAF689F2"/>
    <w:lvl w:ilvl="0">
      <w:start w:val="11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D039E8"/>
    <w:multiLevelType w:val="hybridMultilevel"/>
    <w:tmpl w:val="4C466F2C"/>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A7F78D2"/>
    <w:multiLevelType w:val="hybridMultilevel"/>
    <w:tmpl w:val="E6781D96"/>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65C2E05"/>
    <w:multiLevelType w:val="hybridMultilevel"/>
    <w:tmpl w:val="44F03776"/>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BEF0B6B"/>
    <w:multiLevelType w:val="hybridMultilevel"/>
    <w:tmpl w:val="73B8D9A0"/>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E4D43EB"/>
    <w:multiLevelType w:val="hybridMultilevel"/>
    <w:tmpl w:val="C090F274"/>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C9387A"/>
    <w:multiLevelType w:val="hybridMultilevel"/>
    <w:tmpl w:val="C27CC316"/>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5225A3D"/>
    <w:multiLevelType w:val="hybridMultilevel"/>
    <w:tmpl w:val="1F28A808"/>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9"/>
  </w:num>
  <w:num w:numId="2">
    <w:abstractNumId w:val="15"/>
  </w:num>
  <w:num w:numId="3">
    <w:abstractNumId w:val="12"/>
  </w:num>
  <w:num w:numId="4">
    <w:abstractNumId w:val="17"/>
  </w:num>
  <w:num w:numId="5">
    <w:abstractNumId w:val="20"/>
  </w:num>
  <w:num w:numId="6">
    <w:abstractNumId w:val="5"/>
  </w:num>
  <w:num w:numId="7">
    <w:abstractNumId w:val="2"/>
  </w:num>
  <w:num w:numId="8">
    <w:abstractNumId w:val="13"/>
  </w:num>
  <w:num w:numId="9">
    <w:abstractNumId w:val="21"/>
  </w:num>
  <w:num w:numId="10">
    <w:abstractNumId w:val="6"/>
  </w:num>
  <w:num w:numId="11">
    <w:abstractNumId w:val="1"/>
  </w:num>
  <w:num w:numId="12">
    <w:abstractNumId w:val="8"/>
  </w:num>
  <w:num w:numId="13">
    <w:abstractNumId w:val="14"/>
  </w:num>
  <w:num w:numId="14">
    <w:abstractNumId w:val="22"/>
  </w:num>
  <w:num w:numId="15">
    <w:abstractNumId w:val="4"/>
  </w:num>
  <w:num w:numId="16">
    <w:abstractNumId w:val="16"/>
  </w:num>
  <w:num w:numId="17">
    <w:abstractNumId w:val="0"/>
  </w:num>
  <w:num w:numId="18">
    <w:abstractNumId w:val="11"/>
  </w:num>
  <w:num w:numId="19">
    <w:abstractNumId w:val="18"/>
  </w:num>
  <w:num w:numId="20">
    <w:abstractNumId w:val="3"/>
  </w:num>
  <w:num w:numId="21">
    <w:abstractNumId w:val="10"/>
  </w:num>
  <w:num w:numId="22">
    <w:abstractNumId w:val="19"/>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D0C"/>
    <w:rsid w:val="00006039"/>
    <w:rsid w:val="000174AE"/>
    <w:rsid w:val="000349A4"/>
    <w:rsid w:val="000466B9"/>
    <w:rsid w:val="00047D2A"/>
    <w:rsid w:val="000553DA"/>
    <w:rsid w:val="000705F3"/>
    <w:rsid w:val="00071A3C"/>
    <w:rsid w:val="00077DCC"/>
    <w:rsid w:val="000A3AC7"/>
    <w:rsid w:val="000A79F6"/>
    <w:rsid w:val="000B4240"/>
    <w:rsid w:val="000C155F"/>
    <w:rsid w:val="000C4899"/>
    <w:rsid w:val="000C7112"/>
    <w:rsid w:val="000E2672"/>
    <w:rsid w:val="000E32C6"/>
    <w:rsid w:val="000E6B43"/>
    <w:rsid w:val="000E7660"/>
    <w:rsid w:val="000F059A"/>
    <w:rsid w:val="000F4EA1"/>
    <w:rsid w:val="000F65EC"/>
    <w:rsid w:val="00117DE9"/>
    <w:rsid w:val="00122FD3"/>
    <w:rsid w:val="00134D0C"/>
    <w:rsid w:val="001554C4"/>
    <w:rsid w:val="0016203C"/>
    <w:rsid w:val="001809EB"/>
    <w:rsid w:val="00192FB6"/>
    <w:rsid w:val="001A3711"/>
    <w:rsid w:val="001A51C0"/>
    <w:rsid w:val="001A68F3"/>
    <w:rsid w:val="001C312C"/>
    <w:rsid w:val="001C4165"/>
    <w:rsid w:val="001C5483"/>
    <w:rsid w:val="001D3B07"/>
    <w:rsid w:val="001D7D02"/>
    <w:rsid w:val="001E4B91"/>
    <w:rsid w:val="00210BB9"/>
    <w:rsid w:val="00214714"/>
    <w:rsid w:val="002204D2"/>
    <w:rsid w:val="0022117E"/>
    <w:rsid w:val="00230CE2"/>
    <w:rsid w:val="00241DD8"/>
    <w:rsid w:val="002527FB"/>
    <w:rsid w:val="00261F0A"/>
    <w:rsid w:val="00266F47"/>
    <w:rsid w:val="0027579D"/>
    <w:rsid w:val="00291B8F"/>
    <w:rsid w:val="00297239"/>
    <w:rsid w:val="002A1884"/>
    <w:rsid w:val="002B173D"/>
    <w:rsid w:val="002D068E"/>
    <w:rsid w:val="002E3AAE"/>
    <w:rsid w:val="002E5C90"/>
    <w:rsid w:val="003161DC"/>
    <w:rsid w:val="00316871"/>
    <w:rsid w:val="00324D24"/>
    <w:rsid w:val="00332082"/>
    <w:rsid w:val="00340A43"/>
    <w:rsid w:val="003463AB"/>
    <w:rsid w:val="00350111"/>
    <w:rsid w:val="00350B8B"/>
    <w:rsid w:val="00352598"/>
    <w:rsid w:val="00354C9B"/>
    <w:rsid w:val="0036002F"/>
    <w:rsid w:val="0036535A"/>
    <w:rsid w:val="00383EEF"/>
    <w:rsid w:val="003904A2"/>
    <w:rsid w:val="003A257D"/>
    <w:rsid w:val="003B0087"/>
    <w:rsid w:val="003B27D4"/>
    <w:rsid w:val="003B3184"/>
    <w:rsid w:val="003B33A5"/>
    <w:rsid w:val="003B3E88"/>
    <w:rsid w:val="003B6AC6"/>
    <w:rsid w:val="003C1F04"/>
    <w:rsid w:val="003D1424"/>
    <w:rsid w:val="003D28A0"/>
    <w:rsid w:val="003D2A7D"/>
    <w:rsid w:val="003E0C2C"/>
    <w:rsid w:val="00401519"/>
    <w:rsid w:val="00413F86"/>
    <w:rsid w:val="00416346"/>
    <w:rsid w:val="00421BF4"/>
    <w:rsid w:val="00437864"/>
    <w:rsid w:val="004426BB"/>
    <w:rsid w:val="00463D65"/>
    <w:rsid w:val="0046612C"/>
    <w:rsid w:val="00466375"/>
    <w:rsid w:val="00492FDB"/>
    <w:rsid w:val="004A618A"/>
    <w:rsid w:val="004B4527"/>
    <w:rsid w:val="004B49CB"/>
    <w:rsid w:val="004D5625"/>
    <w:rsid w:val="004E3B5F"/>
    <w:rsid w:val="005027D7"/>
    <w:rsid w:val="00505245"/>
    <w:rsid w:val="00514DCC"/>
    <w:rsid w:val="00522847"/>
    <w:rsid w:val="00525609"/>
    <w:rsid w:val="005310E6"/>
    <w:rsid w:val="0054019B"/>
    <w:rsid w:val="00540375"/>
    <w:rsid w:val="00546546"/>
    <w:rsid w:val="005577AB"/>
    <w:rsid w:val="00565811"/>
    <w:rsid w:val="005739ED"/>
    <w:rsid w:val="00595D35"/>
    <w:rsid w:val="005A10C3"/>
    <w:rsid w:val="005A6D40"/>
    <w:rsid w:val="005B37A3"/>
    <w:rsid w:val="005C6E0B"/>
    <w:rsid w:val="005D08F5"/>
    <w:rsid w:val="005E3B7A"/>
    <w:rsid w:val="0061545D"/>
    <w:rsid w:val="00623BD9"/>
    <w:rsid w:val="006307CB"/>
    <w:rsid w:val="00644F7F"/>
    <w:rsid w:val="00656C0F"/>
    <w:rsid w:val="00665867"/>
    <w:rsid w:val="006B415F"/>
    <w:rsid w:val="006B4DAF"/>
    <w:rsid w:val="006B7435"/>
    <w:rsid w:val="006D5735"/>
    <w:rsid w:val="006E0DB7"/>
    <w:rsid w:val="006E7AE9"/>
    <w:rsid w:val="006F1ADA"/>
    <w:rsid w:val="007016AA"/>
    <w:rsid w:val="007128CA"/>
    <w:rsid w:val="00730A39"/>
    <w:rsid w:val="00736039"/>
    <w:rsid w:val="00766EBA"/>
    <w:rsid w:val="00775148"/>
    <w:rsid w:val="00793648"/>
    <w:rsid w:val="00795AA5"/>
    <w:rsid w:val="007968BF"/>
    <w:rsid w:val="007A260B"/>
    <w:rsid w:val="007A3862"/>
    <w:rsid w:val="007A39E6"/>
    <w:rsid w:val="007B6CFC"/>
    <w:rsid w:val="007D2656"/>
    <w:rsid w:val="007D4025"/>
    <w:rsid w:val="007E3572"/>
    <w:rsid w:val="007E3974"/>
    <w:rsid w:val="00803E94"/>
    <w:rsid w:val="008274C6"/>
    <w:rsid w:val="00844DC4"/>
    <w:rsid w:val="00847660"/>
    <w:rsid w:val="0085699E"/>
    <w:rsid w:val="00861676"/>
    <w:rsid w:val="0086427F"/>
    <w:rsid w:val="008651B3"/>
    <w:rsid w:val="00892F83"/>
    <w:rsid w:val="008A5283"/>
    <w:rsid w:val="008A7648"/>
    <w:rsid w:val="008C0EBC"/>
    <w:rsid w:val="008D2B34"/>
    <w:rsid w:val="008D394E"/>
    <w:rsid w:val="008E01E3"/>
    <w:rsid w:val="008F16F5"/>
    <w:rsid w:val="008F2468"/>
    <w:rsid w:val="008F79AD"/>
    <w:rsid w:val="009004C4"/>
    <w:rsid w:val="00905081"/>
    <w:rsid w:val="009305C4"/>
    <w:rsid w:val="0093505F"/>
    <w:rsid w:val="0095115D"/>
    <w:rsid w:val="00954D4B"/>
    <w:rsid w:val="00982389"/>
    <w:rsid w:val="00982964"/>
    <w:rsid w:val="00991284"/>
    <w:rsid w:val="00994C42"/>
    <w:rsid w:val="009A2853"/>
    <w:rsid w:val="009B66C6"/>
    <w:rsid w:val="009C2D1A"/>
    <w:rsid w:val="009D4452"/>
    <w:rsid w:val="009E2860"/>
    <w:rsid w:val="009E412A"/>
    <w:rsid w:val="009F5D4B"/>
    <w:rsid w:val="009F73E9"/>
    <w:rsid w:val="00A0004D"/>
    <w:rsid w:val="00A13028"/>
    <w:rsid w:val="00A21AA7"/>
    <w:rsid w:val="00A25572"/>
    <w:rsid w:val="00A37CFA"/>
    <w:rsid w:val="00A445A9"/>
    <w:rsid w:val="00A4507E"/>
    <w:rsid w:val="00A472D5"/>
    <w:rsid w:val="00A524BC"/>
    <w:rsid w:val="00A70BC8"/>
    <w:rsid w:val="00A741B7"/>
    <w:rsid w:val="00A76C93"/>
    <w:rsid w:val="00A779F8"/>
    <w:rsid w:val="00AC1828"/>
    <w:rsid w:val="00AC4539"/>
    <w:rsid w:val="00AC75F5"/>
    <w:rsid w:val="00AD0D1E"/>
    <w:rsid w:val="00AD49F7"/>
    <w:rsid w:val="00AD5420"/>
    <w:rsid w:val="00AD5BDA"/>
    <w:rsid w:val="00AF4903"/>
    <w:rsid w:val="00AF7799"/>
    <w:rsid w:val="00B0551F"/>
    <w:rsid w:val="00B1752F"/>
    <w:rsid w:val="00B24497"/>
    <w:rsid w:val="00B4043E"/>
    <w:rsid w:val="00B531C7"/>
    <w:rsid w:val="00B63CD5"/>
    <w:rsid w:val="00B6437E"/>
    <w:rsid w:val="00B71BA3"/>
    <w:rsid w:val="00B819C3"/>
    <w:rsid w:val="00B86529"/>
    <w:rsid w:val="00B962D4"/>
    <w:rsid w:val="00BA4E16"/>
    <w:rsid w:val="00BB46CE"/>
    <w:rsid w:val="00BC43F6"/>
    <w:rsid w:val="00BC4FFC"/>
    <w:rsid w:val="00BD6F36"/>
    <w:rsid w:val="00BE0428"/>
    <w:rsid w:val="00BE18E4"/>
    <w:rsid w:val="00BF4A5B"/>
    <w:rsid w:val="00C10BA7"/>
    <w:rsid w:val="00C11683"/>
    <w:rsid w:val="00C11F7D"/>
    <w:rsid w:val="00C27D11"/>
    <w:rsid w:val="00C30A15"/>
    <w:rsid w:val="00C5339F"/>
    <w:rsid w:val="00C5640F"/>
    <w:rsid w:val="00C65170"/>
    <w:rsid w:val="00C7287B"/>
    <w:rsid w:val="00CB1920"/>
    <w:rsid w:val="00CB4944"/>
    <w:rsid w:val="00CD4185"/>
    <w:rsid w:val="00CE5558"/>
    <w:rsid w:val="00CE77BC"/>
    <w:rsid w:val="00CF5EF0"/>
    <w:rsid w:val="00CF7E8F"/>
    <w:rsid w:val="00D0143C"/>
    <w:rsid w:val="00D05AFA"/>
    <w:rsid w:val="00D05F14"/>
    <w:rsid w:val="00D21F1F"/>
    <w:rsid w:val="00D30BCF"/>
    <w:rsid w:val="00D43BAF"/>
    <w:rsid w:val="00D57DE6"/>
    <w:rsid w:val="00D728E5"/>
    <w:rsid w:val="00D73CF5"/>
    <w:rsid w:val="00D85D53"/>
    <w:rsid w:val="00D94427"/>
    <w:rsid w:val="00DA1748"/>
    <w:rsid w:val="00DA3BEF"/>
    <w:rsid w:val="00DA660D"/>
    <w:rsid w:val="00DB06CB"/>
    <w:rsid w:val="00DB4D31"/>
    <w:rsid w:val="00DC0016"/>
    <w:rsid w:val="00DC3C23"/>
    <w:rsid w:val="00DD6414"/>
    <w:rsid w:val="00DD738D"/>
    <w:rsid w:val="00DF058C"/>
    <w:rsid w:val="00DF1B62"/>
    <w:rsid w:val="00E00DF9"/>
    <w:rsid w:val="00E07232"/>
    <w:rsid w:val="00E140FC"/>
    <w:rsid w:val="00E17B31"/>
    <w:rsid w:val="00E25236"/>
    <w:rsid w:val="00E25642"/>
    <w:rsid w:val="00E37317"/>
    <w:rsid w:val="00E37BD8"/>
    <w:rsid w:val="00E607C4"/>
    <w:rsid w:val="00E73C8B"/>
    <w:rsid w:val="00E77A51"/>
    <w:rsid w:val="00EA52C2"/>
    <w:rsid w:val="00EB4B81"/>
    <w:rsid w:val="00EB4C79"/>
    <w:rsid w:val="00EC1EC9"/>
    <w:rsid w:val="00ED410E"/>
    <w:rsid w:val="00EE1C26"/>
    <w:rsid w:val="00EE68A5"/>
    <w:rsid w:val="00EF2937"/>
    <w:rsid w:val="00F12E1C"/>
    <w:rsid w:val="00F1747C"/>
    <w:rsid w:val="00F2532F"/>
    <w:rsid w:val="00F302A8"/>
    <w:rsid w:val="00F30B29"/>
    <w:rsid w:val="00F31837"/>
    <w:rsid w:val="00F32105"/>
    <w:rsid w:val="00F338F5"/>
    <w:rsid w:val="00F45E00"/>
    <w:rsid w:val="00F56574"/>
    <w:rsid w:val="00F910FB"/>
    <w:rsid w:val="00FA363B"/>
    <w:rsid w:val="00FA74F3"/>
    <w:rsid w:val="00FC76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E8FF9"/>
  <w15:chartTrackingRefBased/>
  <w15:docId w15:val="{B426DD4F-DB10-4FAD-9420-B2426C93B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4BC"/>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26BB"/>
    <w:pPr>
      <w:tabs>
        <w:tab w:val="center" w:pos="4513"/>
        <w:tab w:val="right" w:pos="9026"/>
      </w:tabs>
    </w:pPr>
  </w:style>
  <w:style w:type="character" w:customStyle="1" w:styleId="HeaderChar">
    <w:name w:val="Header Char"/>
    <w:basedOn w:val="DefaultParagraphFont"/>
    <w:link w:val="Header"/>
    <w:uiPriority w:val="99"/>
    <w:rsid w:val="004426BB"/>
  </w:style>
  <w:style w:type="paragraph" w:styleId="Footer">
    <w:name w:val="footer"/>
    <w:basedOn w:val="Normal"/>
    <w:link w:val="FooterChar"/>
    <w:uiPriority w:val="99"/>
    <w:unhideWhenUsed/>
    <w:rsid w:val="004426BB"/>
    <w:pPr>
      <w:tabs>
        <w:tab w:val="center" w:pos="4513"/>
        <w:tab w:val="right" w:pos="9026"/>
      </w:tabs>
    </w:pPr>
  </w:style>
  <w:style w:type="character" w:customStyle="1" w:styleId="FooterChar">
    <w:name w:val="Footer Char"/>
    <w:basedOn w:val="DefaultParagraphFont"/>
    <w:link w:val="Footer"/>
    <w:uiPriority w:val="99"/>
    <w:rsid w:val="004426BB"/>
  </w:style>
  <w:style w:type="paragraph" w:styleId="BalloonText">
    <w:name w:val="Balloon Text"/>
    <w:basedOn w:val="Normal"/>
    <w:link w:val="BalloonTextChar"/>
    <w:uiPriority w:val="99"/>
    <w:semiHidden/>
    <w:unhideWhenUsed/>
    <w:rsid w:val="00DD73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738D"/>
    <w:rPr>
      <w:rFonts w:ascii="Segoe UI" w:hAnsi="Segoe UI" w:cs="Segoe UI"/>
      <w:sz w:val="18"/>
      <w:szCs w:val="18"/>
    </w:rPr>
  </w:style>
  <w:style w:type="character" w:customStyle="1" w:styleId="fontstyle01">
    <w:name w:val="fontstyle01"/>
    <w:basedOn w:val="DefaultParagraphFont"/>
    <w:rsid w:val="00E25642"/>
    <w:rPr>
      <w:rFonts w:ascii="Calibri" w:hAnsi="Calibri" w:cs="Calibri" w:hint="default"/>
      <w:b w:val="0"/>
      <w:bCs w:val="0"/>
      <w:i w:val="0"/>
      <w:iCs w:val="0"/>
      <w:color w:val="000000"/>
      <w:sz w:val="22"/>
      <w:szCs w:val="22"/>
    </w:rPr>
  </w:style>
  <w:style w:type="character" w:customStyle="1" w:styleId="fontstyle21">
    <w:name w:val="fontstyle21"/>
    <w:basedOn w:val="DefaultParagraphFont"/>
    <w:rsid w:val="00E25642"/>
    <w:rPr>
      <w:rFonts w:ascii="TimesNewRomanPSMT" w:hAnsi="TimesNewRomanPSMT" w:hint="default"/>
      <w:b w:val="0"/>
      <w:bCs w:val="0"/>
      <w:i w:val="0"/>
      <w:iCs w:val="0"/>
      <w:color w:val="000000"/>
      <w:sz w:val="24"/>
      <w:szCs w:val="24"/>
    </w:rPr>
  </w:style>
  <w:style w:type="paragraph" w:styleId="ListParagraph">
    <w:name w:val="List Paragraph"/>
    <w:basedOn w:val="Normal"/>
    <w:uiPriority w:val="34"/>
    <w:qFormat/>
    <w:rsid w:val="00A13028"/>
    <w:pPr>
      <w:ind w:left="720"/>
      <w:contextualSpacing/>
    </w:pPr>
  </w:style>
  <w:style w:type="character" w:styleId="Hyperlink">
    <w:name w:val="Hyperlink"/>
    <w:basedOn w:val="DefaultParagraphFont"/>
    <w:uiPriority w:val="99"/>
    <w:unhideWhenUsed/>
    <w:rsid w:val="001A3711"/>
    <w:rPr>
      <w:color w:val="0000FF"/>
      <w:u w:val="single"/>
    </w:rPr>
  </w:style>
  <w:style w:type="character" w:styleId="UnresolvedMention">
    <w:name w:val="Unresolved Mention"/>
    <w:basedOn w:val="DefaultParagraphFont"/>
    <w:uiPriority w:val="99"/>
    <w:semiHidden/>
    <w:unhideWhenUsed/>
    <w:rsid w:val="001A3711"/>
    <w:rPr>
      <w:color w:val="605E5C"/>
      <w:shd w:val="clear" w:color="auto" w:fill="E1DFDD"/>
    </w:rPr>
  </w:style>
  <w:style w:type="paragraph" w:styleId="NormalWeb">
    <w:name w:val="Normal (Web)"/>
    <w:basedOn w:val="Normal"/>
    <w:uiPriority w:val="99"/>
    <w:semiHidden/>
    <w:unhideWhenUsed/>
    <w:rsid w:val="0022117E"/>
    <w:pPr>
      <w:spacing w:before="100" w:beforeAutospacing="1" w:after="100" w:afterAutospacing="1"/>
    </w:pPr>
  </w:style>
  <w:style w:type="character" w:styleId="FollowedHyperlink">
    <w:name w:val="FollowedHyperlink"/>
    <w:basedOn w:val="DefaultParagraphFont"/>
    <w:uiPriority w:val="99"/>
    <w:semiHidden/>
    <w:unhideWhenUsed/>
    <w:rsid w:val="00B63C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566975">
      <w:bodyDiv w:val="1"/>
      <w:marLeft w:val="0"/>
      <w:marRight w:val="0"/>
      <w:marTop w:val="0"/>
      <w:marBottom w:val="0"/>
      <w:divBdr>
        <w:top w:val="none" w:sz="0" w:space="0" w:color="auto"/>
        <w:left w:val="none" w:sz="0" w:space="0" w:color="auto"/>
        <w:bottom w:val="none" w:sz="0" w:space="0" w:color="auto"/>
        <w:right w:val="none" w:sz="0" w:space="0" w:color="auto"/>
      </w:divBdr>
    </w:div>
    <w:div w:id="193270694">
      <w:bodyDiv w:val="1"/>
      <w:marLeft w:val="0"/>
      <w:marRight w:val="0"/>
      <w:marTop w:val="0"/>
      <w:marBottom w:val="0"/>
      <w:divBdr>
        <w:top w:val="none" w:sz="0" w:space="0" w:color="auto"/>
        <w:left w:val="none" w:sz="0" w:space="0" w:color="auto"/>
        <w:bottom w:val="none" w:sz="0" w:space="0" w:color="auto"/>
        <w:right w:val="none" w:sz="0" w:space="0" w:color="auto"/>
      </w:divBdr>
    </w:div>
    <w:div w:id="240679055">
      <w:bodyDiv w:val="1"/>
      <w:marLeft w:val="0"/>
      <w:marRight w:val="0"/>
      <w:marTop w:val="0"/>
      <w:marBottom w:val="0"/>
      <w:divBdr>
        <w:top w:val="none" w:sz="0" w:space="0" w:color="auto"/>
        <w:left w:val="none" w:sz="0" w:space="0" w:color="auto"/>
        <w:bottom w:val="none" w:sz="0" w:space="0" w:color="auto"/>
        <w:right w:val="none" w:sz="0" w:space="0" w:color="auto"/>
      </w:divBdr>
    </w:div>
    <w:div w:id="319238831">
      <w:bodyDiv w:val="1"/>
      <w:marLeft w:val="0"/>
      <w:marRight w:val="0"/>
      <w:marTop w:val="0"/>
      <w:marBottom w:val="0"/>
      <w:divBdr>
        <w:top w:val="none" w:sz="0" w:space="0" w:color="auto"/>
        <w:left w:val="none" w:sz="0" w:space="0" w:color="auto"/>
        <w:bottom w:val="none" w:sz="0" w:space="0" w:color="auto"/>
        <w:right w:val="none" w:sz="0" w:space="0" w:color="auto"/>
      </w:divBdr>
      <w:divsChild>
        <w:div w:id="1432436244">
          <w:marLeft w:val="0"/>
          <w:marRight w:val="0"/>
          <w:marTop w:val="0"/>
          <w:marBottom w:val="0"/>
          <w:divBdr>
            <w:top w:val="none" w:sz="0" w:space="0" w:color="auto"/>
            <w:left w:val="none" w:sz="0" w:space="0" w:color="auto"/>
            <w:bottom w:val="none" w:sz="0" w:space="0" w:color="auto"/>
            <w:right w:val="none" w:sz="0" w:space="0" w:color="auto"/>
          </w:divBdr>
          <w:divsChild>
            <w:div w:id="47338210">
              <w:marLeft w:val="0"/>
              <w:marRight w:val="0"/>
              <w:marTop w:val="0"/>
              <w:marBottom w:val="0"/>
              <w:divBdr>
                <w:top w:val="none" w:sz="0" w:space="0" w:color="auto"/>
                <w:left w:val="none" w:sz="0" w:space="0" w:color="auto"/>
                <w:bottom w:val="none" w:sz="0" w:space="0" w:color="auto"/>
                <w:right w:val="none" w:sz="0" w:space="0" w:color="auto"/>
              </w:divBdr>
              <w:divsChild>
                <w:div w:id="783109629">
                  <w:marLeft w:val="0"/>
                  <w:marRight w:val="0"/>
                  <w:marTop w:val="0"/>
                  <w:marBottom w:val="0"/>
                  <w:divBdr>
                    <w:top w:val="none" w:sz="0" w:space="0" w:color="auto"/>
                    <w:left w:val="none" w:sz="0" w:space="0" w:color="auto"/>
                    <w:bottom w:val="none" w:sz="0" w:space="0" w:color="auto"/>
                    <w:right w:val="none" w:sz="0" w:space="0" w:color="auto"/>
                  </w:divBdr>
                  <w:divsChild>
                    <w:div w:id="123137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135297">
      <w:bodyDiv w:val="1"/>
      <w:marLeft w:val="0"/>
      <w:marRight w:val="0"/>
      <w:marTop w:val="0"/>
      <w:marBottom w:val="0"/>
      <w:divBdr>
        <w:top w:val="none" w:sz="0" w:space="0" w:color="auto"/>
        <w:left w:val="none" w:sz="0" w:space="0" w:color="auto"/>
        <w:bottom w:val="none" w:sz="0" w:space="0" w:color="auto"/>
        <w:right w:val="none" w:sz="0" w:space="0" w:color="auto"/>
      </w:divBdr>
    </w:div>
    <w:div w:id="518474481">
      <w:bodyDiv w:val="1"/>
      <w:marLeft w:val="0"/>
      <w:marRight w:val="0"/>
      <w:marTop w:val="0"/>
      <w:marBottom w:val="0"/>
      <w:divBdr>
        <w:top w:val="none" w:sz="0" w:space="0" w:color="auto"/>
        <w:left w:val="none" w:sz="0" w:space="0" w:color="auto"/>
        <w:bottom w:val="none" w:sz="0" w:space="0" w:color="auto"/>
        <w:right w:val="none" w:sz="0" w:space="0" w:color="auto"/>
      </w:divBdr>
    </w:div>
    <w:div w:id="540702619">
      <w:bodyDiv w:val="1"/>
      <w:marLeft w:val="0"/>
      <w:marRight w:val="0"/>
      <w:marTop w:val="0"/>
      <w:marBottom w:val="0"/>
      <w:divBdr>
        <w:top w:val="none" w:sz="0" w:space="0" w:color="auto"/>
        <w:left w:val="none" w:sz="0" w:space="0" w:color="auto"/>
        <w:bottom w:val="none" w:sz="0" w:space="0" w:color="auto"/>
        <w:right w:val="none" w:sz="0" w:space="0" w:color="auto"/>
      </w:divBdr>
    </w:div>
    <w:div w:id="547227914">
      <w:bodyDiv w:val="1"/>
      <w:marLeft w:val="0"/>
      <w:marRight w:val="0"/>
      <w:marTop w:val="0"/>
      <w:marBottom w:val="0"/>
      <w:divBdr>
        <w:top w:val="none" w:sz="0" w:space="0" w:color="auto"/>
        <w:left w:val="none" w:sz="0" w:space="0" w:color="auto"/>
        <w:bottom w:val="none" w:sz="0" w:space="0" w:color="auto"/>
        <w:right w:val="none" w:sz="0" w:space="0" w:color="auto"/>
      </w:divBdr>
    </w:div>
    <w:div w:id="579408703">
      <w:bodyDiv w:val="1"/>
      <w:marLeft w:val="0"/>
      <w:marRight w:val="0"/>
      <w:marTop w:val="0"/>
      <w:marBottom w:val="0"/>
      <w:divBdr>
        <w:top w:val="none" w:sz="0" w:space="0" w:color="auto"/>
        <w:left w:val="none" w:sz="0" w:space="0" w:color="auto"/>
        <w:bottom w:val="none" w:sz="0" w:space="0" w:color="auto"/>
        <w:right w:val="none" w:sz="0" w:space="0" w:color="auto"/>
      </w:divBdr>
    </w:div>
    <w:div w:id="662004238">
      <w:bodyDiv w:val="1"/>
      <w:marLeft w:val="0"/>
      <w:marRight w:val="0"/>
      <w:marTop w:val="0"/>
      <w:marBottom w:val="0"/>
      <w:divBdr>
        <w:top w:val="none" w:sz="0" w:space="0" w:color="auto"/>
        <w:left w:val="none" w:sz="0" w:space="0" w:color="auto"/>
        <w:bottom w:val="none" w:sz="0" w:space="0" w:color="auto"/>
        <w:right w:val="none" w:sz="0" w:space="0" w:color="auto"/>
      </w:divBdr>
    </w:div>
    <w:div w:id="674068823">
      <w:bodyDiv w:val="1"/>
      <w:marLeft w:val="0"/>
      <w:marRight w:val="0"/>
      <w:marTop w:val="0"/>
      <w:marBottom w:val="0"/>
      <w:divBdr>
        <w:top w:val="none" w:sz="0" w:space="0" w:color="auto"/>
        <w:left w:val="none" w:sz="0" w:space="0" w:color="auto"/>
        <w:bottom w:val="none" w:sz="0" w:space="0" w:color="auto"/>
        <w:right w:val="none" w:sz="0" w:space="0" w:color="auto"/>
      </w:divBdr>
    </w:div>
    <w:div w:id="765347452">
      <w:bodyDiv w:val="1"/>
      <w:marLeft w:val="0"/>
      <w:marRight w:val="0"/>
      <w:marTop w:val="0"/>
      <w:marBottom w:val="0"/>
      <w:divBdr>
        <w:top w:val="none" w:sz="0" w:space="0" w:color="auto"/>
        <w:left w:val="none" w:sz="0" w:space="0" w:color="auto"/>
        <w:bottom w:val="none" w:sz="0" w:space="0" w:color="auto"/>
        <w:right w:val="none" w:sz="0" w:space="0" w:color="auto"/>
      </w:divBdr>
    </w:div>
    <w:div w:id="802769976">
      <w:bodyDiv w:val="1"/>
      <w:marLeft w:val="0"/>
      <w:marRight w:val="0"/>
      <w:marTop w:val="0"/>
      <w:marBottom w:val="0"/>
      <w:divBdr>
        <w:top w:val="none" w:sz="0" w:space="0" w:color="auto"/>
        <w:left w:val="none" w:sz="0" w:space="0" w:color="auto"/>
        <w:bottom w:val="none" w:sz="0" w:space="0" w:color="auto"/>
        <w:right w:val="none" w:sz="0" w:space="0" w:color="auto"/>
      </w:divBdr>
    </w:div>
    <w:div w:id="809713304">
      <w:bodyDiv w:val="1"/>
      <w:marLeft w:val="0"/>
      <w:marRight w:val="0"/>
      <w:marTop w:val="0"/>
      <w:marBottom w:val="0"/>
      <w:divBdr>
        <w:top w:val="none" w:sz="0" w:space="0" w:color="auto"/>
        <w:left w:val="none" w:sz="0" w:space="0" w:color="auto"/>
        <w:bottom w:val="none" w:sz="0" w:space="0" w:color="auto"/>
        <w:right w:val="none" w:sz="0" w:space="0" w:color="auto"/>
      </w:divBdr>
    </w:div>
    <w:div w:id="844831777">
      <w:bodyDiv w:val="1"/>
      <w:marLeft w:val="0"/>
      <w:marRight w:val="0"/>
      <w:marTop w:val="0"/>
      <w:marBottom w:val="0"/>
      <w:divBdr>
        <w:top w:val="none" w:sz="0" w:space="0" w:color="auto"/>
        <w:left w:val="none" w:sz="0" w:space="0" w:color="auto"/>
        <w:bottom w:val="none" w:sz="0" w:space="0" w:color="auto"/>
        <w:right w:val="none" w:sz="0" w:space="0" w:color="auto"/>
      </w:divBdr>
    </w:div>
    <w:div w:id="900603826">
      <w:bodyDiv w:val="1"/>
      <w:marLeft w:val="0"/>
      <w:marRight w:val="0"/>
      <w:marTop w:val="0"/>
      <w:marBottom w:val="0"/>
      <w:divBdr>
        <w:top w:val="none" w:sz="0" w:space="0" w:color="auto"/>
        <w:left w:val="none" w:sz="0" w:space="0" w:color="auto"/>
        <w:bottom w:val="none" w:sz="0" w:space="0" w:color="auto"/>
        <w:right w:val="none" w:sz="0" w:space="0" w:color="auto"/>
      </w:divBdr>
    </w:div>
    <w:div w:id="986278002">
      <w:bodyDiv w:val="1"/>
      <w:marLeft w:val="0"/>
      <w:marRight w:val="0"/>
      <w:marTop w:val="0"/>
      <w:marBottom w:val="0"/>
      <w:divBdr>
        <w:top w:val="none" w:sz="0" w:space="0" w:color="auto"/>
        <w:left w:val="none" w:sz="0" w:space="0" w:color="auto"/>
        <w:bottom w:val="none" w:sz="0" w:space="0" w:color="auto"/>
        <w:right w:val="none" w:sz="0" w:space="0" w:color="auto"/>
      </w:divBdr>
    </w:div>
    <w:div w:id="1078135453">
      <w:bodyDiv w:val="1"/>
      <w:marLeft w:val="0"/>
      <w:marRight w:val="0"/>
      <w:marTop w:val="0"/>
      <w:marBottom w:val="0"/>
      <w:divBdr>
        <w:top w:val="none" w:sz="0" w:space="0" w:color="auto"/>
        <w:left w:val="none" w:sz="0" w:space="0" w:color="auto"/>
        <w:bottom w:val="none" w:sz="0" w:space="0" w:color="auto"/>
        <w:right w:val="none" w:sz="0" w:space="0" w:color="auto"/>
      </w:divBdr>
    </w:div>
    <w:div w:id="1145466707">
      <w:bodyDiv w:val="1"/>
      <w:marLeft w:val="0"/>
      <w:marRight w:val="0"/>
      <w:marTop w:val="0"/>
      <w:marBottom w:val="0"/>
      <w:divBdr>
        <w:top w:val="none" w:sz="0" w:space="0" w:color="auto"/>
        <w:left w:val="none" w:sz="0" w:space="0" w:color="auto"/>
        <w:bottom w:val="none" w:sz="0" w:space="0" w:color="auto"/>
        <w:right w:val="none" w:sz="0" w:space="0" w:color="auto"/>
      </w:divBdr>
    </w:div>
    <w:div w:id="1179196610">
      <w:bodyDiv w:val="1"/>
      <w:marLeft w:val="0"/>
      <w:marRight w:val="0"/>
      <w:marTop w:val="0"/>
      <w:marBottom w:val="0"/>
      <w:divBdr>
        <w:top w:val="none" w:sz="0" w:space="0" w:color="auto"/>
        <w:left w:val="none" w:sz="0" w:space="0" w:color="auto"/>
        <w:bottom w:val="none" w:sz="0" w:space="0" w:color="auto"/>
        <w:right w:val="none" w:sz="0" w:space="0" w:color="auto"/>
      </w:divBdr>
    </w:div>
    <w:div w:id="1182743439">
      <w:bodyDiv w:val="1"/>
      <w:marLeft w:val="0"/>
      <w:marRight w:val="0"/>
      <w:marTop w:val="0"/>
      <w:marBottom w:val="0"/>
      <w:divBdr>
        <w:top w:val="none" w:sz="0" w:space="0" w:color="auto"/>
        <w:left w:val="none" w:sz="0" w:space="0" w:color="auto"/>
        <w:bottom w:val="none" w:sz="0" w:space="0" w:color="auto"/>
        <w:right w:val="none" w:sz="0" w:space="0" w:color="auto"/>
      </w:divBdr>
    </w:div>
    <w:div w:id="1226530424">
      <w:bodyDiv w:val="1"/>
      <w:marLeft w:val="0"/>
      <w:marRight w:val="0"/>
      <w:marTop w:val="0"/>
      <w:marBottom w:val="0"/>
      <w:divBdr>
        <w:top w:val="none" w:sz="0" w:space="0" w:color="auto"/>
        <w:left w:val="none" w:sz="0" w:space="0" w:color="auto"/>
        <w:bottom w:val="none" w:sz="0" w:space="0" w:color="auto"/>
        <w:right w:val="none" w:sz="0" w:space="0" w:color="auto"/>
      </w:divBdr>
    </w:div>
    <w:div w:id="1239290529">
      <w:bodyDiv w:val="1"/>
      <w:marLeft w:val="0"/>
      <w:marRight w:val="0"/>
      <w:marTop w:val="0"/>
      <w:marBottom w:val="0"/>
      <w:divBdr>
        <w:top w:val="none" w:sz="0" w:space="0" w:color="auto"/>
        <w:left w:val="none" w:sz="0" w:space="0" w:color="auto"/>
        <w:bottom w:val="none" w:sz="0" w:space="0" w:color="auto"/>
        <w:right w:val="none" w:sz="0" w:space="0" w:color="auto"/>
      </w:divBdr>
    </w:div>
    <w:div w:id="1289580132">
      <w:bodyDiv w:val="1"/>
      <w:marLeft w:val="0"/>
      <w:marRight w:val="0"/>
      <w:marTop w:val="0"/>
      <w:marBottom w:val="0"/>
      <w:divBdr>
        <w:top w:val="none" w:sz="0" w:space="0" w:color="auto"/>
        <w:left w:val="none" w:sz="0" w:space="0" w:color="auto"/>
        <w:bottom w:val="none" w:sz="0" w:space="0" w:color="auto"/>
        <w:right w:val="none" w:sz="0" w:space="0" w:color="auto"/>
      </w:divBdr>
    </w:div>
    <w:div w:id="1306395529">
      <w:bodyDiv w:val="1"/>
      <w:marLeft w:val="0"/>
      <w:marRight w:val="0"/>
      <w:marTop w:val="0"/>
      <w:marBottom w:val="0"/>
      <w:divBdr>
        <w:top w:val="none" w:sz="0" w:space="0" w:color="auto"/>
        <w:left w:val="none" w:sz="0" w:space="0" w:color="auto"/>
        <w:bottom w:val="none" w:sz="0" w:space="0" w:color="auto"/>
        <w:right w:val="none" w:sz="0" w:space="0" w:color="auto"/>
      </w:divBdr>
    </w:div>
    <w:div w:id="1353992836">
      <w:bodyDiv w:val="1"/>
      <w:marLeft w:val="0"/>
      <w:marRight w:val="0"/>
      <w:marTop w:val="0"/>
      <w:marBottom w:val="0"/>
      <w:divBdr>
        <w:top w:val="none" w:sz="0" w:space="0" w:color="auto"/>
        <w:left w:val="none" w:sz="0" w:space="0" w:color="auto"/>
        <w:bottom w:val="none" w:sz="0" w:space="0" w:color="auto"/>
        <w:right w:val="none" w:sz="0" w:space="0" w:color="auto"/>
      </w:divBdr>
    </w:div>
    <w:div w:id="1470784762">
      <w:bodyDiv w:val="1"/>
      <w:marLeft w:val="0"/>
      <w:marRight w:val="0"/>
      <w:marTop w:val="0"/>
      <w:marBottom w:val="0"/>
      <w:divBdr>
        <w:top w:val="none" w:sz="0" w:space="0" w:color="auto"/>
        <w:left w:val="none" w:sz="0" w:space="0" w:color="auto"/>
        <w:bottom w:val="none" w:sz="0" w:space="0" w:color="auto"/>
        <w:right w:val="none" w:sz="0" w:space="0" w:color="auto"/>
      </w:divBdr>
    </w:div>
    <w:div w:id="1498302224">
      <w:bodyDiv w:val="1"/>
      <w:marLeft w:val="0"/>
      <w:marRight w:val="0"/>
      <w:marTop w:val="0"/>
      <w:marBottom w:val="0"/>
      <w:divBdr>
        <w:top w:val="none" w:sz="0" w:space="0" w:color="auto"/>
        <w:left w:val="none" w:sz="0" w:space="0" w:color="auto"/>
        <w:bottom w:val="none" w:sz="0" w:space="0" w:color="auto"/>
        <w:right w:val="none" w:sz="0" w:space="0" w:color="auto"/>
      </w:divBdr>
    </w:div>
    <w:div w:id="1520778439">
      <w:bodyDiv w:val="1"/>
      <w:marLeft w:val="0"/>
      <w:marRight w:val="0"/>
      <w:marTop w:val="0"/>
      <w:marBottom w:val="0"/>
      <w:divBdr>
        <w:top w:val="none" w:sz="0" w:space="0" w:color="auto"/>
        <w:left w:val="none" w:sz="0" w:space="0" w:color="auto"/>
        <w:bottom w:val="none" w:sz="0" w:space="0" w:color="auto"/>
        <w:right w:val="none" w:sz="0" w:space="0" w:color="auto"/>
      </w:divBdr>
    </w:div>
    <w:div w:id="1551502455">
      <w:bodyDiv w:val="1"/>
      <w:marLeft w:val="0"/>
      <w:marRight w:val="0"/>
      <w:marTop w:val="0"/>
      <w:marBottom w:val="0"/>
      <w:divBdr>
        <w:top w:val="none" w:sz="0" w:space="0" w:color="auto"/>
        <w:left w:val="none" w:sz="0" w:space="0" w:color="auto"/>
        <w:bottom w:val="none" w:sz="0" w:space="0" w:color="auto"/>
        <w:right w:val="none" w:sz="0" w:space="0" w:color="auto"/>
      </w:divBdr>
    </w:div>
    <w:div w:id="1614627926">
      <w:bodyDiv w:val="1"/>
      <w:marLeft w:val="0"/>
      <w:marRight w:val="0"/>
      <w:marTop w:val="0"/>
      <w:marBottom w:val="0"/>
      <w:divBdr>
        <w:top w:val="none" w:sz="0" w:space="0" w:color="auto"/>
        <w:left w:val="none" w:sz="0" w:space="0" w:color="auto"/>
        <w:bottom w:val="none" w:sz="0" w:space="0" w:color="auto"/>
        <w:right w:val="none" w:sz="0" w:space="0" w:color="auto"/>
      </w:divBdr>
      <w:divsChild>
        <w:div w:id="196550934">
          <w:marLeft w:val="0"/>
          <w:marRight w:val="0"/>
          <w:marTop w:val="0"/>
          <w:marBottom w:val="0"/>
          <w:divBdr>
            <w:top w:val="none" w:sz="0" w:space="0" w:color="auto"/>
            <w:left w:val="none" w:sz="0" w:space="0" w:color="auto"/>
            <w:bottom w:val="none" w:sz="0" w:space="0" w:color="auto"/>
            <w:right w:val="none" w:sz="0" w:space="0" w:color="auto"/>
          </w:divBdr>
          <w:divsChild>
            <w:div w:id="85615556">
              <w:marLeft w:val="0"/>
              <w:marRight w:val="0"/>
              <w:marTop w:val="0"/>
              <w:marBottom w:val="0"/>
              <w:divBdr>
                <w:top w:val="none" w:sz="0" w:space="0" w:color="auto"/>
                <w:left w:val="none" w:sz="0" w:space="0" w:color="auto"/>
                <w:bottom w:val="none" w:sz="0" w:space="0" w:color="auto"/>
                <w:right w:val="none" w:sz="0" w:space="0" w:color="auto"/>
              </w:divBdr>
              <w:divsChild>
                <w:div w:id="1464156985">
                  <w:marLeft w:val="0"/>
                  <w:marRight w:val="0"/>
                  <w:marTop w:val="0"/>
                  <w:marBottom w:val="0"/>
                  <w:divBdr>
                    <w:top w:val="none" w:sz="0" w:space="0" w:color="auto"/>
                    <w:left w:val="none" w:sz="0" w:space="0" w:color="auto"/>
                    <w:bottom w:val="none" w:sz="0" w:space="0" w:color="auto"/>
                    <w:right w:val="none" w:sz="0" w:space="0" w:color="auto"/>
                  </w:divBdr>
                  <w:divsChild>
                    <w:div w:id="102081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194825">
      <w:bodyDiv w:val="1"/>
      <w:marLeft w:val="0"/>
      <w:marRight w:val="0"/>
      <w:marTop w:val="0"/>
      <w:marBottom w:val="0"/>
      <w:divBdr>
        <w:top w:val="none" w:sz="0" w:space="0" w:color="auto"/>
        <w:left w:val="none" w:sz="0" w:space="0" w:color="auto"/>
        <w:bottom w:val="none" w:sz="0" w:space="0" w:color="auto"/>
        <w:right w:val="none" w:sz="0" w:space="0" w:color="auto"/>
      </w:divBdr>
    </w:div>
    <w:div w:id="1837450671">
      <w:bodyDiv w:val="1"/>
      <w:marLeft w:val="0"/>
      <w:marRight w:val="0"/>
      <w:marTop w:val="0"/>
      <w:marBottom w:val="0"/>
      <w:divBdr>
        <w:top w:val="none" w:sz="0" w:space="0" w:color="auto"/>
        <w:left w:val="none" w:sz="0" w:space="0" w:color="auto"/>
        <w:bottom w:val="none" w:sz="0" w:space="0" w:color="auto"/>
        <w:right w:val="none" w:sz="0" w:space="0" w:color="auto"/>
      </w:divBdr>
    </w:div>
    <w:div w:id="1897544005">
      <w:bodyDiv w:val="1"/>
      <w:marLeft w:val="0"/>
      <w:marRight w:val="0"/>
      <w:marTop w:val="0"/>
      <w:marBottom w:val="0"/>
      <w:divBdr>
        <w:top w:val="none" w:sz="0" w:space="0" w:color="auto"/>
        <w:left w:val="none" w:sz="0" w:space="0" w:color="auto"/>
        <w:bottom w:val="none" w:sz="0" w:space="0" w:color="auto"/>
        <w:right w:val="none" w:sz="0" w:space="0" w:color="auto"/>
      </w:divBdr>
    </w:div>
    <w:div w:id="2000770789">
      <w:bodyDiv w:val="1"/>
      <w:marLeft w:val="0"/>
      <w:marRight w:val="0"/>
      <w:marTop w:val="0"/>
      <w:marBottom w:val="0"/>
      <w:divBdr>
        <w:top w:val="none" w:sz="0" w:space="0" w:color="auto"/>
        <w:left w:val="none" w:sz="0" w:space="0" w:color="auto"/>
        <w:bottom w:val="none" w:sz="0" w:space="0" w:color="auto"/>
        <w:right w:val="none" w:sz="0" w:space="0" w:color="auto"/>
      </w:divBdr>
    </w:div>
    <w:div w:id="2021810568">
      <w:bodyDiv w:val="1"/>
      <w:marLeft w:val="0"/>
      <w:marRight w:val="0"/>
      <w:marTop w:val="0"/>
      <w:marBottom w:val="0"/>
      <w:divBdr>
        <w:top w:val="none" w:sz="0" w:space="0" w:color="auto"/>
        <w:left w:val="none" w:sz="0" w:space="0" w:color="auto"/>
        <w:bottom w:val="none" w:sz="0" w:space="0" w:color="auto"/>
        <w:right w:val="none" w:sz="0" w:space="0" w:color="auto"/>
      </w:divBdr>
      <w:divsChild>
        <w:div w:id="256137292">
          <w:marLeft w:val="0"/>
          <w:marRight w:val="0"/>
          <w:marTop w:val="0"/>
          <w:marBottom w:val="0"/>
          <w:divBdr>
            <w:top w:val="none" w:sz="0" w:space="0" w:color="auto"/>
            <w:left w:val="none" w:sz="0" w:space="0" w:color="auto"/>
            <w:bottom w:val="none" w:sz="0" w:space="0" w:color="auto"/>
            <w:right w:val="none" w:sz="0" w:space="0" w:color="auto"/>
          </w:divBdr>
          <w:divsChild>
            <w:div w:id="490340816">
              <w:marLeft w:val="0"/>
              <w:marRight w:val="0"/>
              <w:marTop w:val="0"/>
              <w:marBottom w:val="0"/>
              <w:divBdr>
                <w:top w:val="none" w:sz="0" w:space="0" w:color="auto"/>
                <w:left w:val="none" w:sz="0" w:space="0" w:color="auto"/>
                <w:bottom w:val="none" w:sz="0" w:space="0" w:color="auto"/>
                <w:right w:val="none" w:sz="0" w:space="0" w:color="auto"/>
              </w:divBdr>
              <w:divsChild>
                <w:div w:id="1311207499">
                  <w:marLeft w:val="0"/>
                  <w:marRight w:val="0"/>
                  <w:marTop w:val="0"/>
                  <w:marBottom w:val="0"/>
                  <w:divBdr>
                    <w:top w:val="none" w:sz="0" w:space="0" w:color="auto"/>
                    <w:left w:val="none" w:sz="0" w:space="0" w:color="auto"/>
                    <w:bottom w:val="none" w:sz="0" w:space="0" w:color="auto"/>
                    <w:right w:val="none" w:sz="0" w:space="0" w:color="auto"/>
                  </w:divBdr>
                  <w:divsChild>
                    <w:div w:id="199965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917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ce.org.uk/guidance/ng98/evidence/full-guideline-pdf-4852693117" TargetMode="External"/><Relationship Id="rId13" Type="http://schemas.openxmlformats.org/officeDocument/2006/relationships/hyperlink" Target="https://www.nice.org.uk/guidance/ng98/resources/hearing-loss-in-adults-assessment-and-management-pdf-1837761878725"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ice.org.uk/guidance/ng98/evidence/appendices-as-pdf-4852693118" TargetMode="External"/><Relationship Id="rId12" Type="http://schemas.openxmlformats.org/officeDocument/2006/relationships/hyperlink" Target="https://www.nice.org.uk/guidance/ng98/evidence/full-guideline-pdf-4852693117" TargetMode="External"/><Relationship Id="rId17" Type="http://schemas.openxmlformats.org/officeDocument/2006/relationships/hyperlink" Target="https://cks.nice.org.uk/earwax" TargetMode="External"/><Relationship Id="rId2" Type="http://schemas.openxmlformats.org/officeDocument/2006/relationships/styles" Target="styles.xml"/><Relationship Id="rId16" Type="http://schemas.openxmlformats.org/officeDocument/2006/relationships/hyperlink" Target="https://www.nhs.uk/conditions/consent-to-treatmen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ice.org.uk/guidance/ng98/resources/hearing-loss-in-adults-assessment-and-management-pdf-1837761878725" TargetMode="External"/><Relationship Id="rId5" Type="http://schemas.openxmlformats.org/officeDocument/2006/relationships/footnotes" Target="footnotes.xml"/><Relationship Id="rId15" Type="http://schemas.openxmlformats.org/officeDocument/2006/relationships/hyperlink" Target="https://www.england.nhs.uk/wp-content/uploads/2018/03/otc-guidance-for-ccgs.pdf" TargetMode="External"/><Relationship Id="rId10" Type="http://schemas.openxmlformats.org/officeDocument/2006/relationships/hyperlink" Target="https://consultations.dh.gov.uk/resolution-patient-experience-and-maternity/indemnity-regulatio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ice.org.uk/guidance/ng98/evidence/appendices-as-pdf-4852693118" TargetMode="External"/><Relationship Id="rId14" Type="http://schemas.openxmlformats.org/officeDocument/2006/relationships/hyperlink" Target="https://www.nice.org.uk/guidance/ng98/evidence/full-guideline-pdf-4852693117"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BSA@thebs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Company/>
  <Lines>157</Lines>
  <LinksUpToDate>false</LinksUpToDate>
  <Paragraphs>44</Paragraphs>
  <ScaleCrop>false</ScaleCrop>
  <CharactersWithSpaces>22137</CharactersWithSpaces>
  <SharedDoc>false</SharedDoc>
  <HyperlinksChanged>false</HyperlinksChanged>
  <AppVersion>16.0000</AppVersion>
  <Characters>18871</Characters>
  <Pages>17</Pages>
  <DocSecurity>0</DocSecurity>
  <Words>3310</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Harjit Sandhu</dc:creator>
  <dcterms:modified xsi:type="dcterms:W3CDTF">2019-12-02T09:12:00Z</dcterms:modified>
  <dc:description/>
  <cp:keywords/>
  <dc:subject/>
  <dc:title/>
  <cp:lastModifiedBy>Harjit Sandhu</cp:lastModifiedBy>
  <dcterms:created xsi:type="dcterms:W3CDTF">2019-12-02T08:08:00Z</dcterms:created>
  <cp:revision>74</cp:revision>
</cp:coreProperties>
</file>