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8E6AF5" w14:textId="1AA9455C" w:rsidR="000D52C5" w:rsidRPr="002756CB" w:rsidRDefault="00410502" w:rsidP="002841D0">
      <w:pPr>
        <w:jc w:val="center"/>
        <w:rPr>
          <w:b/>
        </w:rPr>
      </w:pPr>
      <w:r w:rsidRPr="002756CB">
        <w:rPr>
          <w:rFonts w:cs="Calibri"/>
          <w:noProof/>
          <w:lang w:eastAsia="en-GB"/>
        </w:rPr>
        <w:drawing>
          <wp:inline distT="0" distB="0" distL="0" distR="0" wp14:anchorId="6531A1C2" wp14:editId="3C178E7B">
            <wp:extent cx="1292225" cy="685800"/>
            <wp:effectExtent l="0" t="0" r="3175" b="0"/>
            <wp:docPr id="1" name="Picture 8" descr="C:\Users\harjit.FODO\AppData\Local\Microsoft\Windows\Temporary Internet Files\Content.Outlook\CYWP0IJE\NCHA_logo_stacked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arjit.FODO\AppData\Local\Microsoft\Windows\Temporary Internet Files\Content.Outlook\CYWP0IJE\NCHA_logo_stacked_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4FB3C" w14:textId="77777777" w:rsidR="00AE6D67" w:rsidRPr="00F367E0" w:rsidRDefault="00F17CC0" w:rsidP="00AE6D67">
      <w:pPr>
        <w:spacing w:after="0"/>
        <w:contextualSpacing/>
        <w:jc w:val="center"/>
        <w:rPr>
          <w:b/>
          <w:sz w:val="24"/>
        </w:rPr>
      </w:pPr>
      <w:r w:rsidRPr="00F367E0">
        <w:rPr>
          <w:b/>
          <w:sz w:val="24"/>
        </w:rPr>
        <w:t>Review of NICE Technol</w:t>
      </w:r>
      <w:r w:rsidR="00AE6D67" w:rsidRPr="00F367E0">
        <w:rPr>
          <w:b/>
          <w:sz w:val="24"/>
        </w:rPr>
        <w:t>ogy Appraisal Guidance No. 166:</w:t>
      </w:r>
    </w:p>
    <w:p w14:paraId="0172EBDF" w14:textId="7E06FC38" w:rsidR="0016254A" w:rsidRPr="00F367E0" w:rsidRDefault="00F17CC0" w:rsidP="00AE6D67">
      <w:pPr>
        <w:spacing w:after="0"/>
        <w:contextualSpacing/>
        <w:jc w:val="center"/>
        <w:rPr>
          <w:b/>
          <w:sz w:val="24"/>
        </w:rPr>
      </w:pPr>
      <w:r w:rsidRPr="00F367E0">
        <w:rPr>
          <w:b/>
          <w:sz w:val="24"/>
        </w:rPr>
        <w:t>Cochlear implants for children and adults with severe to profound deafness</w:t>
      </w:r>
    </w:p>
    <w:p w14:paraId="16D96F45" w14:textId="77777777" w:rsidR="000D52C5" w:rsidRPr="002756CB" w:rsidRDefault="000D52C5" w:rsidP="00772BB1">
      <w:pPr>
        <w:rPr>
          <w:b/>
        </w:rPr>
      </w:pPr>
    </w:p>
    <w:p w14:paraId="55E36BAC" w14:textId="12FBDF0D" w:rsidR="00772BB1" w:rsidRPr="0012052B" w:rsidRDefault="00772BB1" w:rsidP="00772BB1">
      <w:pPr>
        <w:rPr>
          <w:b/>
          <w:u w:val="single"/>
        </w:rPr>
      </w:pPr>
      <w:r w:rsidRPr="0012052B">
        <w:rPr>
          <w:b/>
          <w:u w:val="single"/>
        </w:rPr>
        <w:t>About us</w:t>
      </w:r>
    </w:p>
    <w:p w14:paraId="410104A0" w14:textId="31921B05" w:rsidR="00D04CDF" w:rsidRPr="002756CB" w:rsidRDefault="006209F8" w:rsidP="00D04CDF">
      <w:pPr>
        <w:pStyle w:val="ListParagraph"/>
        <w:numPr>
          <w:ilvl w:val="0"/>
          <w:numId w:val="3"/>
        </w:numPr>
      </w:pPr>
      <w:r w:rsidRPr="002756CB">
        <w:t>The National</w:t>
      </w:r>
      <w:r w:rsidR="00EF778E" w:rsidRPr="002756CB">
        <w:t xml:space="preserve"> Community Hearing Association</w:t>
      </w:r>
      <w:r w:rsidR="00AE4C28" w:rsidRPr="002756CB">
        <w:t xml:space="preserve"> </w:t>
      </w:r>
      <w:r w:rsidR="00AC399A" w:rsidRPr="002756CB">
        <w:t xml:space="preserve">(NCHA) </w:t>
      </w:r>
      <w:r w:rsidRPr="002756CB">
        <w:t>represents community hearing care pro</w:t>
      </w:r>
      <w:r w:rsidR="009478BC" w:rsidRPr="002756CB">
        <w:t xml:space="preserve">viders in the UK. </w:t>
      </w:r>
    </w:p>
    <w:p w14:paraId="31BD2F5C" w14:textId="6D28C5F9" w:rsidR="00D04CDF" w:rsidRPr="0012052B" w:rsidRDefault="00F047B2" w:rsidP="00F047B2">
      <w:pPr>
        <w:rPr>
          <w:b/>
          <w:u w:val="single"/>
        </w:rPr>
      </w:pPr>
      <w:r w:rsidRPr="0012052B">
        <w:rPr>
          <w:b/>
          <w:u w:val="single"/>
        </w:rPr>
        <w:t xml:space="preserve">Feedback </w:t>
      </w:r>
      <w:r w:rsidR="002F130F" w:rsidRPr="0012052B">
        <w:rPr>
          <w:b/>
          <w:u w:val="single"/>
        </w:rPr>
        <w:t xml:space="preserve">on </w:t>
      </w:r>
      <w:r w:rsidR="00B46C25" w:rsidRPr="0012052B">
        <w:rPr>
          <w:b/>
          <w:u w:val="single"/>
        </w:rPr>
        <w:t>TA166</w:t>
      </w:r>
      <w:r w:rsidR="002F130F" w:rsidRPr="0012052B">
        <w:rPr>
          <w:b/>
          <w:u w:val="single"/>
        </w:rPr>
        <w:t xml:space="preserve"> </w:t>
      </w:r>
      <w:r w:rsidRPr="0012052B">
        <w:rPr>
          <w:b/>
          <w:u w:val="single"/>
        </w:rPr>
        <w:t xml:space="preserve"> </w:t>
      </w:r>
    </w:p>
    <w:p w14:paraId="62A751B2" w14:textId="4D236CDA" w:rsidR="00772BB1" w:rsidRPr="002756CB" w:rsidRDefault="00772BB1" w:rsidP="00AE4C28">
      <w:pPr>
        <w:pStyle w:val="ListParagraph"/>
        <w:numPr>
          <w:ilvl w:val="0"/>
          <w:numId w:val="3"/>
        </w:numPr>
      </w:pPr>
      <w:r w:rsidRPr="002756CB">
        <w:t>We welcome this opportunity to comment on recommendation 1.5 in TA166.</w:t>
      </w:r>
    </w:p>
    <w:p w14:paraId="6313BF76" w14:textId="77777777" w:rsidR="00772BB1" w:rsidRPr="002756CB" w:rsidRDefault="00772BB1" w:rsidP="00772BB1">
      <w:pPr>
        <w:pStyle w:val="ListParagraph"/>
        <w:ind w:left="360"/>
      </w:pPr>
    </w:p>
    <w:p w14:paraId="2B1BF9EC" w14:textId="239DC691" w:rsidR="00AE4C28" w:rsidRPr="002756CB" w:rsidRDefault="00661E28" w:rsidP="00F22AE5">
      <w:pPr>
        <w:pStyle w:val="ListParagraph"/>
        <w:numPr>
          <w:ilvl w:val="0"/>
          <w:numId w:val="3"/>
        </w:numPr>
      </w:pPr>
      <w:r w:rsidRPr="002756CB">
        <w:t xml:space="preserve">We agree </w:t>
      </w:r>
      <w:r w:rsidR="00292B73" w:rsidRPr="002756CB">
        <w:t xml:space="preserve">that </w:t>
      </w:r>
      <w:r w:rsidR="00506240" w:rsidRPr="002756CB">
        <w:t xml:space="preserve">eligibility criteria in </w:t>
      </w:r>
      <w:r w:rsidR="00AF775A" w:rsidRPr="002756CB">
        <w:t>recommendation</w:t>
      </w:r>
      <w:r w:rsidR="00A90CC4" w:rsidRPr="002756CB">
        <w:t xml:space="preserve"> 1.5</w:t>
      </w:r>
      <w:r w:rsidR="00506240" w:rsidRPr="002756CB">
        <w:t xml:space="preserve"> </w:t>
      </w:r>
      <w:r w:rsidR="00506240" w:rsidRPr="002756CB">
        <w:rPr>
          <w:i/>
        </w:rPr>
        <w:t>“are now out of date and do not reflect clinical practice”</w:t>
      </w:r>
      <w:r w:rsidR="00506240" w:rsidRPr="002756CB">
        <w:rPr>
          <w:rStyle w:val="FootnoteReference"/>
          <w:rFonts w:cs="Arial"/>
          <w:lang w:val="en-US"/>
        </w:rPr>
        <w:footnoteReference w:id="1"/>
      </w:r>
      <w:r w:rsidR="00AE4C28" w:rsidRPr="002756CB">
        <w:rPr>
          <w:rFonts w:cs="Arial"/>
          <w:lang w:val="en-US"/>
        </w:rPr>
        <w:t xml:space="preserve"> </w:t>
      </w:r>
    </w:p>
    <w:p w14:paraId="58AFD5B9" w14:textId="77777777" w:rsidR="00F22AE5" w:rsidRPr="002756CB" w:rsidRDefault="00F22AE5" w:rsidP="00F22AE5">
      <w:pPr>
        <w:pStyle w:val="ListParagraph"/>
      </w:pPr>
    </w:p>
    <w:p w14:paraId="2B3BC9C0" w14:textId="117DEDF8" w:rsidR="00300D51" w:rsidRPr="002756CB" w:rsidRDefault="00F22AE5" w:rsidP="00F22AE5">
      <w:pPr>
        <w:pStyle w:val="ListParagraph"/>
        <w:numPr>
          <w:ilvl w:val="0"/>
          <w:numId w:val="3"/>
        </w:numPr>
      </w:pPr>
      <w:r w:rsidRPr="002756CB">
        <w:t>We agree</w:t>
      </w:r>
      <w:r w:rsidRPr="002756CB">
        <w:rPr>
          <w:rFonts w:cs="Arial"/>
          <w:lang w:val="en-US"/>
        </w:rPr>
        <w:t xml:space="preserve"> </w:t>
      </w:r>
      <w:r w:rsidR="006567ED" w:rsidRPr="002756CB">
        <w:rPr>
          <w:rFonts w:cs="Arial"/>
          <w:lang w:val="en-US"/>
        </w:rPr>
        <w:t xml:space="preserve">that recommendation 1.5 needs to be updated. </w:t>
      </w:r>
    </w:p>
    <w:p w14:paraId="2F6AB202" w14:textId="77777777" w:rsidR="00300D51" w:rsidRPr="002756CB" w:rsidRDefault="00300D51" w:rsidP="00300D51">
      <w:pPr>
        <w:pStyle w:val="ListParagraph"/>
        <w:ind w:left="360"/>
      </w:pPr>
    </w:p>
    <w:p w14:paraId="30F95129" w14:textId="3D5721C1" w:rsidR="007537D2" w:rsidRPr="002756CB" w:rsidRDefault="00F81634" w:rsidP="007537D2">
      <w:pPr>
        <w:pStyle w:val="ListParagraph"/>
        <w:numPr>
          <w:ilvl w:val="0"/>
          <w:numId w:val="3"/>
        </w:numPr>
      </w:pPr>
      <w:r w:rsidRPr="002756CB">
        <w:t>In our view</w:t>
      </w:r>
      <w:r w:rsidR="001E706E">
        <w:t xml:space="preserve">, this is also an important opportunity to update the language used in </w:t>
      </w:r>
      <w:r w:rsidR="008166EA" w:rsidRPr="002756CB">
        <w:t>TA166</w:t>
      </w:r>
      <w:r w:rsidR="001E706E">
        <w:t xml:space="preserve"> and </w:t>
      </w:r>
      <w:r w:rsidR="00E42B20">
        <w:t>to</w:t>
      </w:r>
      <w:r w:rsidR="001E706E">
        <w:t xml:space="preserve"> address some </w:t>
      </w:r>
      <w:r w:rsidR="00E42B20">
        <w:t xml:space="preserve">practical (real-world) challenges </w:t>
      </w:r>
      <w:r w:rsidR="001E706E">
        <w:t>with this NICE guidance</w:t>
      </w:r>
      <w:r w:rsidR="00292B73" w:rsidRPr="002756CB">
        <w:t>. For example</w:t>
      </w:r>
    </w:p>
    <w:p w14:paraId="53E8ABF9" w14:textId="65C10903" w:rsidR="007537D2" w:rsidRPr="002756CB" w:rsidRDefault="00292B73" w:rsidP="008D45C9">
      <w:pPr>
        <w:pStyle w:val="ListParagraph"/>
        <w:numPr>
          <w:ilvl w:val="1"/>
          <w:numId w:val="3"/>
        </w:numPr>
        <w:ind w:left="567"/>
      </w:pPr>
      <w:r w:rsidRPr="002756CB">
        <w:t xml:space="preserve">most audiologists in England and Wales (where TA166 is currently used) do not measure or describe hearing loss in the way that </w:t>
      </w:r>
      <w:r w:rsidR="007537D2" w:rsidRPr="002756CB">
        <w:t xml:space="preserve">NICE </w:t>
      </w:r>
      <w:r w:rsidRPr="002756CB">
        <w:t>describe</w:t>
      </w:r>
      <w:r w:rsidR="008A6351">
        <w:t>s</w:t>
      </w:r>
      <w:r w:rsidRPr="002756CB">
        <w:t xml:space="preserve"> it</w:t>
      </w:r>
      <w:r w:rsidR="007537D2" w:rsidRPr="002756CB">
        <w:t xml:space="preserve"> in TA166</w:t>
      </w:r>
    </w:p>
    <w:p w14:paraId="15F8110B" w14:textId="4DAF0E3A" w:rsidR="007537D2" w:rsidRPr="002756CB" w:rsidRDefault="007537D2" w:rsidP="007537D2">
      <w:pPr>
        <w:pStyle w:val="ListParagraph"/>
        <w:numPr>
          <w:ilvl w:val="1"/>
          <w:numId w:val="3"/>
        </w:numPr>
        <w:ind w:left="567"/>
      </w:pPr>
      <w:r w:rsidRPr="002756CB">
        <w:t xml:space="preserve">this has, </w:t>
      </w:r>
      <w:r w:rsidR="00292B73" w:rsidRPr="002756CB">
        <w:t xml:space="preserve">in our view, contributed to poor </w:t>
      </w:r>
      <w:r w:rsidRPr="002756CB">
        <w:t>dissemination and uptake of TA166</w:t>
      </w:r>
      <w:r w:rsidR="008A6351">
        <w:t>, yet</w:t>
      </w:r>
    </w:p>
    <w:p w14:paraId="0E3FA4C0" w14:textId="387DCD7B" w:rsidR="00292B73" w:rsidRPr="002756CB" w:rsidRDefault="007537D2" w:rsidP="007537D2">
      <w:pPr>
        <w:pStyle w:val="ListParagraph"/>
        <w:numPr>
          <w:ilvl w:val="1"/>
          <w:numId w:val="3"/>
        </w:numPr>
        <w:ind w:left="567"/>
      </w:pPr>
      <w:proofErr w:type="gramStart"/>
      <w:r w:rsidRPr="002756CB">
        <w:t>there</w:t>
      </w:r>
      <w:proofErr w:type="gramEnd"/>
      <w:r w:rsidRPr="002756CB">
        <w:t xml:space="preserve"> is no robust evidence-base to support NICE’s definition of “severe to profound” hearing impairment</w:t>
      </w:r>
      <w:r w:rsidR="008A6351">
        <w:t>,</w:t>
      </w:r>
      <w:r w:rsidRPr="002756CB">
        <w:t xml:space="preserve"> or </w:t>
      </w:r>
      <w:r w:rsidR="008A6351">
        <w:t xml:space="preserve">its </w:t>
      </w:r>
      <w:r w:rsidRPr="002756CB">
        <w:t>current measurement</w:t>
      </w:r>
      <w:r w:rsidR="008A6351">
        <w:t>/definition</w:t>
      </w:r>
      <w:r w:rsidRPr="002756CB">
        <w:t xml:space="preserve"> </w:t>
      </w:r>
      <w:r w:rsidR="008A6351">
        <w:t xml:space="preserve">of </w:t>
      </w:r>
      <w:r w:rsidRPr="002756CB">
        <w:t xml:space="preserve">hearing loss. </w:t>
      </w:r>
    </w:p>
    <w:p w14:paraId="5911FBFE" w14:textId="77777777" w:rsidR="00292B73" w:rsidRPr="002756CB" w:rsidRDefault="00292B73" w:rsidP="00292B73">
      <w:pPr>
        <w:pStyle w:val="ListParagraph"/>
      </w:pPr>
    </w:p>
    <w:p w14:paraId="3C105D7B" w14:textId="617326EF" w:rsidR="008D45C9" w:rsidRDefault="008D45C9" w:rsidP="008D45C9">
      <w:pPr>
        <w:pStyle w:val="ListParagraph"/>
        <w:ind w:left="360"/>
      </w:pPr>
      <w:r>
        <w:t>Addressing this issue should help improve</w:t>
      </w:r>
      <w:r w:rsidR="007537D2" w:rsidRPr="002756CB">
        <w:t xml:space="preserve"> dissemination and implementation</w:t>
      </w:r>
      <w:r>
        <w:t xml:space="preserve"> of TA166</w:t>
      </w:r>
      <w:r w:rsidR="003A7DAD">
        <w:t xml:space="preserve"> – i.e. also help </w:t>
      </w:r>
      <w:r w:rsidR="007537D2" w:rsidRPr="002756CB">
        <w:t>NICE meet its dut</w:t>
      </w:r>
      <w:r w:rsidR="00EC6642">
        <w:t>ies</w:t>
      </w:r>
      <w:r w:rsidR="007537D2" w:rsidRPr="002756CB">
        <w:t xml:space="preserve"> to advance equality</w:t>
      </w:r>
      <w:r w:rsidR="006653BD">
        <w:t xml:space="preserve"> and </w:t>
      </w:r>
      <w:r w:rsidR="00D263DF">
        <w:t>improve</w:t>
      </w:r>
      <w:r w:rsidR="006653BD">
        <w:t xml:space="preserve"> patient outcomes</w:t>
      </w:r>
      <w:r w:rsidR="007537D2" w:rsidRPr="002756CB">
        <w:t xml:space="preserve">. </w:t>
      </w:r>
    </w:p>
    <w:p w14:paraId="67807C59" w14:textId="77777777" w:rsidR="008D45C9" w:rsidRDefault="008D45C9" w:rsidP="008D45C9">
      <w:pPr>
        <w:pStyle w:val="ListParagraph"/>
        <w:ind w:left="360"/>
      </w:pPr>
    </w:p>
    <w:p w14:paraId="59FC6918" w14:textId="327E28C3" w:rsidR="008D45C9" w:rsidRDefault="008D45C9" w:rsidP="008D45C9">
      <w:pPr>
        <w:pStyle w:val="ListParagraph"/>
        <w:numPr>
          <w:ilvl w:val="0"/>
          <w:numId w:val="3"/>
        </w:numPr>
      </w:pPr>
      <w:r>
        <w:t xml:space="preserve">We make recommendations below. </w:t>
      </w:r>
      <w:r w:rsidR="00554B0E">
        <w:t xml:space="preserve">We expect the impact of our recommendations to be as follows </w:t>
      </w:r>
    </w:p>
    <w:p w14:paraId="275860A3" w14:textId="7D9428EF" w:rsidR="00FB7029" w:rsidRDefault="00554B0E" w:rsidP="008D45C9">
      <w:pPr>
        <w:pStyle w:val="ListParagraph"/>
        <w:numPr>
          <w:ilvl w:val="0"/>
          <w:numId w:val="7"/>
        </w:numPr>
      </w:pPr>
      <w:r>
        <w:t>improve dissemination of TA166</w:t>
      </w:r>
    </w:p>
    <w:p w14:paraId="622733B6" w14:textId="19A97DC3" w:rsidR="006653BD" w:rsidRDefault="006653BD" w:rsidP="008D45C9">
      <w:pPr>
        <w:pStyle w:val="ListParagraph"/>
        <w:numPr>
          <w:ilvl w:val="0"/>
          <w:numId w:val="7"/>
        </w:numPr>
      </w:pPr>
      <w:r>
        <w:t>provide a consistent standard of what constitutes “severe to profound” hearing loss, reducing confusion among non-specialist clinicians</w:t>
      </w:r>
      <w:r w:rsidR="004D7C04">
        <w:t xml:space="preserve"> and the public</w:t>
      </w:r>
    </w:p>
    <w:p w14:paraId="7B4D02F8" w14:textId="33D5BD1C" w:rsidR="00554B0E" w:rsidRDefault="00554B0E" w:rsidP="008D45C9">
      <w:pPr>
        <w:pStyle w:val="ListParagraph"/>
        <w:numPr>
          <w:ilvl w:val="0"/>
          <w:numId w:val="7"/>
        </w:numPr>
      </w:pPr>
      <w:r>
        <w:t xml:space="preserve">increase the probability that patients already eligible are referred for assessment </w:t>
      </w:r>
    </w:p>
    <w:p w14:paraId="31516900" w14:textId="23C14243" w:rsidR="00554B0E" w:rsidRPr="002756CB" w:rsidRDefault="00554B0E" w:rsidP="008D45C9">
      <w:pPr>
        <w:pStyle w:val="ListParagraph"/>
        <w:numPr>
          <w:ilvl w:val="0"/>
          <w:numId w:val="7"/>
        </w:numPr>
      </w:pPr>
      <w:r>
        <w:t xml:space="preserve">no significant increase in </w:t>
      </w:r>
      <w:r w:rsidR="00BA054F">
        <w:t xml:space="preserve">the number of </w:t>
      </w:r>
      <w:r>
        <w:t>p</w:t>
      </w:r>
      <w:r w:rsidR="00743E1C">
        <w:t>eople receiving</w:t>
      </w:r>
      <w:r w:rsidR="0043257F">
        <w:t xml:space="preserve"> NHS funded</w:t>
      </w:r>
      <w:r>
        <w:t xml:space="preserve"> Cochlear implant</w:t>
      </w:r>
      <w:r w:rsidR="00BA054F">
        <w:t>s</w:t>
      </w:r>
      <w:r>
        <w:t xml:space="preserve"> </w:t>
      </w:r>
    </w:p>
    <w:p w14:paraId="25DD7517" w14:textId="60FB095F" w:rsidR="00F81634" w:rsidRPr="0012052B" w:rsidRDefault="00F047B2" w:rsidP="007537D2">
      <w:pPr>
        <w:rPr>
          <w:b/>
          <w:u w:val="single"/>
        </w:rPr>
      </w:pPr>
      <w:r w:rsidRPr="0012052B">
        <w:rPr>
          <w:b/>
          <w:u w:val="single"/>
        </w:rPr>
        <w:t>Recommendations:</w:t>
      </w:r>
      <w:r w:rsidR="00055580" w:rsidRPr="0012052B">
        <w:rPr>
          <w:b/>
          <w:u w:val="single"/>
        </w:rPr>
        <w:t xml:space="preserve"> criteria and language (typology</w:t>
      </w:r>
      <w:r w:rsidR="00051696" w:rsidRPr="0012052B">
        <w:rPr>
          <w:b/>
          <w:u w:val="single"/>
        </w:rPr>
        <w:t>)</w:t>
      </w:r>
    </w:p>
    <w:p w14:paraId="5594561D" w14:textId="18F89CB0" w:rsidR="00B45113" w:rsidRPr="002756CB" w:rsidRDefault="00B45113" w:rsidP="007537D2">
      <w:pPr>
        <w:rPr>
          <w:b/>
          <w:i/>
        </w:rPr>
      </w:pPr>
      <w:r w:rsidRPr="002756CB">
        <w:rPr>
          <w:b/>
          <w:i/>
        </w:rPr>
        <w:t xml:space="preserve">Criteria </w:t>
      </w:r>
    </w:p>
    <w:p w14:paraId="71493EA7" w14:textId="77777777" w:rsidR="006653BD" w:rsidRDefault="00B45113" w:rsidP="00A327E7">
      <w:pPr>
        <w:pStyle w:val="ListParagraph"/>
        <w:numPr>
          <w:ilvl w:val="0"/>
          <w:numId w:val="3"/>
        </w:numPr>
      </w:pPr>
      <w:r w:rsidRPr="002756CB">
        <w:lastRenderedPageBreak/>
        <w:t>We understand that the original economic analysis for TA166 was particularly sensitive to utility weights and</w:t>
      </w:r>
      <w:r w:rsidR="008473ED" w:rsidRPr="002756CB">
        <w:t xml:space="preserve"> that significant</w:t>
      </w:r>
      <w:r w:rsidRPr="002756CB">
        <w:t xml:space="preserve"> supplier discounts would</w:t>
      </w:r>
      <w:r w:rsidR="008473ED" w:rsidRPr="002756CB">
        <w:t xml:space="preserve"> be required </w:t>
      </w:r>
      <w:r w:rsidR="00072BE7">
        <w:t>in order to make</w:t>
      </w:r>
      <w:r w:rsidR="008473ED" w:rsidRPr="002756CB">
        <w:t xml:space="preserve"> </w:t>
      </w:r>
      <w:r w:rsidRPr="002756CB">
        <w:t xml:space="preserve">any fundamental changes to eligibility criteria. </w:t>
      </w:r>
    </w:p>
    <w:p w14:paraId="67D1045B" w14:textId="164A5AA3" w:rsidR="007537D2" w:rsidRPr="002756CB" w:rsidRDefault="00FD6684" w:rsidP="00A327E7">
      <w:pPr>
        <w:pStyle w:val="ListParagraph"/>
        <w:numPr>
          <w:ilvl w:val="0"/>
          <w:numId w:val="3"/>
        </w:numPr>
      </w:pPr>
      <w:r>
        <w:t>We also understand</w:t>
      </w:r>
      <w:r w:rsidR="00805FFD" w:rsidRPr="002756CB">
        <w:t xml:space="preserve"> </w:t>
      </w:r>
      <w:r w:rsidR="006653BD">
        <w:t xml:space="preserve">the </w:t>
      </w:r>
      <w:r>
        <w:t xml:space="preserve">various </w:t>
      </w:r>
      <w:r w:rsidR="008473ED" w:rsidRPr="002756CB">
        <w:t>issues with transferabilit</w:t>
      </w:r>
      <w:r w:rsidR="009E517E" w:rsidRPr="002756CB">
        <w:t>y of health economic studies (</w:t>
      </w:r>
      <w:r w:rsidR="008473ED" w:rsidRPr="002756CB">
        <w:t>costs</w:t>
      </w:r>
      <w:r w:rsidR="00EF3B69" w:rsidRPr="002756CB">
        <w:t>, funding models</w:t>
      </w:r>
      <w:r w:rsidR="008473ED" w:rsidRPr="002756CB">
        <w:t xml:space="preserve"> and effectiveness</w:t>
      </w:r>
      <w:r w:rsidR="00EF3B69" w:rsidRPr="002756CB">
        <w:t xml:space="preserve"> </w:t>
      </w:r>
      <w:proofErr w:type="spellStart"/>
      <w:r w:rsidR="00EF3B69" w:rsidRPr="002756CB">
        <w:t>etc</w:t>
      </w:r>
      <w:proofErr w:type="spellEnd"/>
      <w:r w:rsidR="008473ED" w:rsidRPr="002756CB">
        <w:t xml:space="preserve">) </w:t>
      </w:r>
      <w:r w:rsidR="009E517E" w:rsidRPr="002756CB">
        <w:t xml:space="preserve">that </w:t>
      </w:r>
      <w:r w:rsidR="008473ED" w:rsidRPr="002756CB">
        <w:t xml:space="preserve">are </w:t>
      </w:r>
      <w:r w:rsidR="00805FFD" w:rsidRPr="002756CB">
        <w:t xml:space="preserve">more </w:t>
      </w:r>
      <w:r w:rsidR="008473ED" w:rsidRPr="002756CB">
        <w:t xml:space="preserve">likely to emerge </w:t>
      </w:r>
      <w:r>
        <w:t>in these</w:t>
      </w:r>
      <w:r w:rsidR="009E517E" w:rsidRPr="002756CB">
        <w:t xml:space="preserve"> scenario</w:t>
      </w:r>
      <w:r>
        <w:t>s</w:t>
      </w:r>
      <w:r w:rsidR="009E517E" w:rsidRPr="002756CB">
        <w:t xml:space="preserve"> </w:t>
      </w:r>
      <w:r w:rsidR="008473ED" w:rsidRPr="002756CB">
        <w:t xml:space="preserve">– e.g. the fact the UK has some of the most stringent eligibility criteria for </w:t>
      </w:r>
      <w:r w:rsidR="006653BD">
        <w:t>C</w:t>
      </w:r>
      <w:r w:rsidR="006653BD" w:rsidRPr="002756CB">
        <w:t xml:space="preserve">ochlear </w:t>
      </w:r>
      <w:r w:rsidR="008473ED" w:rsidRPr="002756CB">
        <w:t>implants</w:t>
      </w:r>
      <w:r w:rsidR="008473ED" w:rsidRPr="002756CB">
        <w:rPr>
          <w:rStyle w:val="FootnoteReference"/>
        </w:rPr>
        <w:footnoteReference w:id="2"/>
      </w:r>
      <w:r w:rsidR="008473ED" w:rsidRPr="002756CB">
        <w:t xml:space="preserve"> </w:t>
      </w:r>
      <w:r>
        <w:t>might not be sufficient, in itself, to justify NICE updating its</w:t>
      </w:r>
      <w:r w:rsidR="008473ED" w:rsidRPr="002756CB">
        <w:t xml:space="preserve"> recommendations.  </w:t>
      </w:r>
      <w:r w:rsidR="00F8618B" w:rsidRPr="002756CB">
        <w:t>We factor this</w:t>
      </w:r>
      <w:r w:rsidR="0098175B">
        <w:t xml:space="preserve"> and other variables</w:t>
      </w:r>
      <w:r w:rsidR="00F8618B" w:rsidRPr="002756CB">
        <w:t xml:space="preserve"> into our feedback below.</w:t>
      </w:r>
    </w:p>
    <w:p w14:paraId="20833EF3" w14:textId="77777777" w:rsidR="007C654D" w:rsidRPr="002756CB" w:rsidRDefault="007C654D" w:rsidP="007C654D">
      <w:pPr>
        <w:pStyle w:val="ListParagraph"/>
        <w:ind w:left="360"/>
      </w:pPr>
    </w:p>
    <w:p w14:paraId="771967B1" w14:textId="56EF3D87" w:rsidR="00F8618B" w:rsidRPr="002756CB" w:rsidRDefault="00AF2833" w:rsidP="00F8618B">
      <w:pPr>
        <w:pStyle w:val="ListParagraph"/>
        <w:numPr>
          <w:ilvl w:val="0"/>
          <w:numId w:val="3"/>
        </w:numPr>
      </w:pPr>
      <w:r>
        <w:t>We</w:t>
      </w:r>
      <w:r w:rsidR="00AC7D4F" w:rsidRPr="002756CB">
        <w:t xml:space="preserve"> recommend that NICE</w:t>
      </w:r>
    </w:p>
    <w:p w14:paraId="631867DC" w14:textId="1951DD5D" w:rsidR="00F8618B" w:rsidRPr="002756CB" w:rsidRDefault="0033442D" w:rsidP="00F8618B">
      <w:pPr>
        <w:pStyle w:val="ListParagraph"/>
        <w:numPr>
          <w:ilvl w:val="0"/>
          <w:numId w:val="4"/>
        </w:numPr>
      </w:pPr>
      <w:r w:rsidRPr="002756CB">
        <w:t>chan</w:t>
      </w:r>
      <w:r w:rsidR="00AC7D4F" w:rsidRPr="002756CB">
        <w:t>ges</w:t>
      </w:r>
      <w:r w:rsidRPr="002756CB">
        <w:t xml:space="preserve"> </w:t>
      </w:r>
      <w:r w:rsidR="006653BD">
        <w:t xml:space="preserve">its </w:t>
      </w:r>
      <w:r w:rsidRPr="002756CB">
        <w:t xml:space="preserve">criteria to ≥80dB HL </w:t>
      </w:r>
      <w:r w:rsidR="00241AF4" w:rsidRPr="002756CB">
        <w:t>(</w:t>
      </w:r>
      <w:r w:rsidR="00F03FCE">
        <w:t xml:space="preserve">averaged </w:t>
      </w:r>
      <w:r w:rsidRPr="002756CB">
        <w:t>0.</w:t>
      </w:r>
      <w:r w:rsidR="0081045C" w:rsidRPr="002756CB">
        <w:t xml:space="preserve">5, 1, 2 </w:t>
      </w:r>
      <w:r w:rsidRPr="002756CB">
        <w:t>and 4 KHz)</w:t>
      </w:r>
      <w:r w:rsidR="00AC7D4F" w:rsidRPr="002756CB">
        <w:t xml:space="preserve"> to better reflect clinical practice </w:t>
      </w:r>
    </w:p>
    <w:p w14:paraId="7CD39DE2" w14:textId="3D83ECEA" w:rsidR="00B45113" w:rsidRPr="002756CB" w:rsidRDefault="006D630B" w:rsidP="00B45113">
      <w:pPr>
        <w:pStyle w:val="ListParagraph"/>
        <w:numPr>
          <w:ilvl w:val="0"/>
          <w:numId w:val="4"/>
        </w:numPr>
      </w:pPr>
      <w:proofErr w:type="gramStart"/>
      <w:r w:rsidRPr="002756CB">
        <w:t>reviews</w:t>
      </w:r>
      <w:proofErr w:type="gramEnd"/>
      <w:r w:rsidRPr="002756CB">
        <w:t xml:space="preserve"> use of</w:t>
      </w:r>
      <w:r w:rsidR="00765E95" w:rsidRPr="002756CB">
        <w:t xml:space="preserve"> the Bamford-</w:t>
      </w:r>
      <w:proofErr w:type="spellStart"/>
      <w:r w:rsidR="00765E95" w:rsidRPr="002756CB">
        <w:t>Kowal</w:t>
      </w:r>
      <w:proofErr w:type="spellEnd"/>
      <w:r w:rsidR="00765E95" w:rsidRPr="002756CB">
        <w:t xml:space="preserve">-Bench (BKB) test, which research suggests </w:t>
      </w:r>
      <w:r w:rsidR="002C002E" w:rsidRPr="002756CB">
        <w:t>might</w:t>
      </w:r>
      <w:r w:rsidRPr="002756CB">
        <w:t xml:space="preserve"> </w:t>
      </w:r>
      <w:r w:rsidR="002C002E" w:rsidRPr="002756CB">
        <w:t>create inequalities in access</w:t>
      </w:r>
      <w:r w:rsidR="002C002E" w:rsidRPr="002756CB">
        <w:rPr>
          <w:rStyle w:val="FootnoteReference"/>
        </w:rPr>
        <w:footnoteReference w:id="3"/>
      </w:r>
      <w:r w:rsidR="002C002E" w:rsidRPr="002756CB">
        <w:t xml:space="preserve">. </w:t>
      </w:r>
      <w:r w:rsidRPr="002756CB">
        <w:t>That, as part of its com</w:t>
      </w:r>
      <w:r w:rsidR="008C5F50">
        <w:t xml:space="preserve">mitment to advancing equality, </w:t>
      </w:r>
      <w:r w:rsidRPr="002756CB">
        <w:t>NICE therefore also considers removing this test from recommendation 1.5</w:t>
      </w:r>
    </w:p>
    <w:p w14:paraId="354EB3E6" w14:textId="6318FFA1" w:rsidR="00FB7029" w:rsidRPr="002756CB" w:rsidRDefault="00927B25" w:rsidP="00B45113">
      <w:pPr>
        <w:pStyle w:val="ListParagraph"/>
        <w:numPr>
          <w:ilvl w:val="0"/>
          <w:numId w:val="4"/>
        </w:numPr>
      </w:pPr>
      <w:r w:rsidRPr="002756CB">
        <w:t xml:space="preserve">considers replacing the BKB test with </w:t>
      </w:r>
      <w:r w:rsidR="002767EE" w:rsidRPr="002756CB">
        <w:t xml:space="preserve">the Arthur </w:t>
      </w:r>
      <w:proofErr w:type="spellStart"/>
      <w:r w:rsidR="002767EE" w:rsidRPr="002756CB">
        <w:t>Boothroyd</w:t>
      </w:r>
      <w:proofErr w:type="spellEnd"/>
      <w:r w:rsidR="002767EE" w:rsidRPr="002756CB">
        <w:t xml:space="preserve"> (AB) monosyllabic word test</w:t>
      </w:r>
      <w:r w:rsidR="002767EE" w:rsidRPr="002756CB">
        <w:rPr>
          <w:rStyle w:val="FootnoteReference"/>
        </w:rPr>
        <w:footnoteReference w:id="4"/>
      </w:r>
    </w:p>
    <w:p w14:paraId="5113A844" w14:textId="77777777" w:rsidR="005E51F3" w:rsidRPr="002756CB" w:rsidRDefault="005E51F3" w:rsidP="005E51F3">
      <w:pPr>
        <w:pStyle w:val="ListParagraph"/>
      </w:pPr>
    </w:p>
    <w:p w14:paraId="2A60D9CD" w14:textId="7920DD38" w:rsidR="007537D2" w:rsidRPr="002756CB" w:rsidRDefault="00B45113" w:rsidP="00B45113">
      <w:pPr>
        <w:rPr>
          <w:b/>
          <w:i/>
        </w:rPr>
      </w:pPr>
      <w:r w:rsidRPr="002756CB">
        <w:rPr>
          <w:b/>
          <w:i/>
        </w:rPr>
        <w:t xml:space="preserve">Language (typology) </w:t>
      </w:r>
    </w:p>
    <w:p w14:paraId="4D5EE46D" w14:textId="7AA14C00" w:rsidR="00FB622A" w:rsidRPr="002756CB" w:rsidRDefault="00113A04" w:rsidP="00FB622A">
      <w:pPr>
        <w:pStyle w:val="ListParagraph"/>
        <w:numPr>
          <w:ilvl w:val="0"/>
          <w:numId w:val="3"/>
        </w:numPr>
      </w:pPr>
      <w:r w:rsidRPr="002756CB">
        <w:t xml:space="preserve">In addition to reviewing </w:t>
      </w:r>
      <w:r w:rsidR="00EF778E" w:rsidRPr="002756CB">
        <w:t>recommendation 1.5</w:t>
      </w:r>
      <w:r w:rsidRPr="002756CB">
        <w:t>, t</w:t>
      </w:r>
      <w:r w:rsidR="00BE1641" w:rsidRPr="002756CB">
        <w:t xml:space="preserve">he language used </w:t>
      </w:r>
      <w:r w:rsidR="00AF2833">
        <w:t xml:space="preserve">in TA166 </w:t>
      </w:r>
      <w:r w:rsidR="00BE1641" w:rsidRPr="002756CB">
        <w:t>should be reviewed</w:t>
      </w:r>
      <w:r w:rsidRPr="002756CB">
        <w:t xml:space="preserve"> to aid dissemination</w:t>
      </w:r>
      <w:r w:rsidR="005051DB">
        <w:t xml:space="preserve"> of eligibility criteria</w:t>
      </w:r>
      <w:r w:rsidR="00BE1641" w:rsidRPr="002756CB">
        <w:t xml:space="preserve">. </w:t>
      </w:r>
    </w:p>
    <w:p w14:paraId="324A7F96" w14:textId="77777777" w:rsidR="00FB622A" w:rsidRPr="002756CB" w:rsidRDefault="00FB622A" w:rsidP="00FB622A">
      <w:pPr>
        <w:pStyle w:val="ListParagraph"/>
        <w:ind w:left="360"/>
      </w:pPr>
    </w:p>
    <w:p w14:paraId="477DD2BE" w14:textId="0924B4B6" w:rsidR="00113A04" w:rsidRPr="002756CB" w:rsidRDefault="005051DB" w:rsidP="00FB622A">
      <w:pPr>
        <w:pStyle w:val="ListParagraph"/>
        <w:numPr>
          <w:ilvl w:val="0"/>
          <w:numId w:val="3"/>
        </w:numPr>
      </w:pPr>
      <w:r>
        <w:t>T</w:t>
      </w:r>
      <w:r w:rsidR="00113A04" w:rsidRPr="002756CB">
        <w:t>he current definition of severe to profound hearing loss is unique to TA166</w:t>
      </w:r>
      <w:r w:rsidR="005E51F3" w:rsidRPr="002756CB">
        <w:t>, not evidence-based,</w:t>
      </w:r>
      <w:r w:rsidR="00113A04" w:rsidRPr="002756CB">
        <w:t xml:space="preserve"> and overlooks </w:t>
      </w:r>
      <w:r w:rsidR="004325B3" w:rsidRPr="002756CB">
        <w:t>other definitions</w:t>
      </w:r>
      <w:r w:rsidR="005E51F3" w:rsidRPr="002756CB">
        <w:t xml:space="preserve"> of hearing impairment. This can be very confusing for stakeholders, </w:t>
      </w:r>
      <w:r w:rsidR="006653BD">
        <w:t>for example</w:t>
      </w:r>
      <w:r w:rsidR="00054E1D" w:rsidRPr="002756CB">
        <w:t xml:space="preserve"> </w:t>
      </w:r>
    </w:p>
    <w:p w14:paraId="7A699518" w14:textId="6D113767" w:rsidR="0029454E" w:rsidRPr="002756CB" w:rsidRDefault="0029454E" w:rsidP="0029454E">
      <w:pPr>
        <w:pStyle w:val="ListParagraph"/>
        <w:numPr>
          <w:ilvl w:val="1"/>
          <w:numId w:val="3"/>
        </w:numPr>
        <w:ind w:left="709"/>
      </w:pPr>
      <w:proofErr w:type="gramStart"/>
      <w:r w:rsidRPr="002756CB">
        <w:t>recommendation</w:t>
      </w:r>
      <w:proofErr w:type="gramEnd"/>
      <w:r w:rsidRPr="002756CB">
        <w:t xml:space="preserve"> 1.5 states, </w:t>
      </w:r>
      <w:r w:rsidRPr="002756CB">
        <w:rPr>
          <w:i/>
        </w:rPr>
        <w:t>“For the purposes of this guidance, severe to profound deafness is defined as hearing only sounds that are louder than 90dB HL at frequencies of 2 and 4kHZ…”</w:t>
      </w:r>
      <w:r w:rsidRPr="002756CB">
        <w:rPr>
          <w:rStyle w:val="FootnoteReference"/>
          <w:rFonts w:cs="Arial"/>
          <w:lang w:val="en-US"/>
        </w:rPr>
        <w:footnoteReference w:id="5"/>
      </w:r>
    </w:p>
    <w:p w14:paraId="4A47DAB1" w14:textId="55FB30B7" w:rsidR="00DF0DF7" w:rsidRPr="002756CB" w:rsidRDefault="0029454E" w:rsidP="00C31BE8">
      <w:pPr>
        <w:pStyle w:val="ListParagraph"/>
        <w:numPr>
          <w:ilvl w:val="1"/>
          <w:numId w:val="3"/>
        </w:numPr>
        <w:ind w:left="709"/>
      </w:pPr>
      <w:r w:rsidRPr="002756CB">
        <w:t xml:space="preserve">no other </w:t>
      </w:r>
      <w:r w:rsidR="00552576" w:rsidRPr="002756CB">
        <w:t xml:space="preserve">widely used </w:t>
      </w:r>
      <w:r w:rsidRPr="002756CB">
        <w:t xml:space="preserve">classification </w:t>
      </w:r>
      <w:r w:rsidR="0024611F" w:rsidRPr="002756CB">
        <w:t xml:space="preserve">system </w:t>
      </w:r>
      <w:r w:rsidRPr="002756CB">
        <w:t>uses this definition</w:t>
      </w:r>
      <w:r w:rsidR="00DF0DF7" w:rsidRPr="002756CB">
        <w:t xml:space="preserve"> of hearing loss (T</w:t>
      </w:r>
      <w:r w:rsidRPr="002756CB">
        <w:t>able 1)</w:t>
      </w:r>
      <w:r w:rsidR="002C61AE" w:rsidRPr="002756CB">
        <w:rPr>
          <w:rStyle w:val="FootnoteReference"/>
        </w:rPr>
        <w:footnoteReference w:id="6"/>
      </w:r>
    </w:p>
    <w:p w14:paraId="7BEFE4C7" w14:textId="0BE50F33" w:rsidR="005E51F3" w:rsidRPr="002756CB" w:rsidRDefault="005E51F3" w:rsidP="005E51F3">
      <w:pPr>
        <w:pStyle w:val="ListParagraph"/>
        <w:numPr>
          <w:ilvl w:val="1"/>
          <w:numId w:val="3"/>
        </w:numPr>
        <w:ind w:left="709"/>
      </w:pPr>
      <w:r w:rsidRPr="002756CB">
        <w:t xml:space="preserve">to understand </w:t>
      </w:r>
      <w:r w:rsidR="002E73BC">
        <w:t>the difference</w:t>
      </w:r>
      <w:r w:rsidRPr="002756CB">
        <w:t xml:space="preserve"> in opinion – i.e. not evidence – somebody has to </w:t>
      </w:r>
      <w:r w:rsidR="006653BD">
        <w:t xml:space="preserve">find and </w:t>
      </w:r>
      <w:r w:rsidRPr="002756CB">
        <w:t>read a single sentence on page four of a 41-page NICE</w:t>
      </w:r>
      <w:r w:rsidR="005051DB">
        <w:t>’s TA166,</w:t>
      </w:r>
      <w:r w:rsidRPr="002756CB">
        <w:t xml:space="preserve"> and understand that many </w:t>
      </w:r>
      <w:r w:rsidR="005051DB">
        <w:t xml:space="preserve">readily available </w:t>
      </w:r>
      <w:r w:rsidRPr="002756CB">
        <w:t xml:space="preserve">definitions of “severe to profound hearing loss” are not related to NICE’s definition </w:t>
      </w:r>
      <w:r w:rsidR="00262897">
        <w:t>in TA166</w:t>
      </w:r>
    </w:p>
    <w:p w14:paraId="166AA2B3" w14:textId="44FF7AC4" w:rsidR="00FB622A" w:rsidRPr="002756CB" w:rsidRDefault="00054E1D" w:rsidP="00144221">
      <w:pPr>
        <w:pStyle w:val="ListParagraph"/>
        <w:numPr>
          <w:ilvl w:val="1"/>
          <w:numId w:val="3"/>
        </w:numPr>
        <w:ind w:left="709"/>
      </w:pPr>
      <w:proofErr w:type="gramStart"/>
      <w:r w:rsidRPr="002756CB">
        <w:t>eligibility</w:t>
      </w:r>
      <w:proofErr w:type="gramEnd"/>
      <w:r w:rsidRPr="002756CB">
        <w:t xml:space="preserve"> criteria in TA166 </w:t>
      </w:r>
      <w:r w:rsidR="00BA4A20">
        <w:t>are</w:t>
      </w:r>
      <w:r w:rsidR="005E51F3" w:rsidRPr="002756CB">
        <w:t xml:space="preserve"> therefore</w:t>
      </w:r>
      <w:r w:rsidR="00BE1641" w:rsidRPr="002756CB">
        <w:t xml:space="preserve"> confusing for </w:t>
      </w:r>
      <w:r w:rsidR="005A0515">
        <w:t xml:space="preserve">the public </w:t>
      </w:r>
      <w:r w:rsidR="00BE1641" w:rsidRPr="002756CB">
        <w:t>and non-specialist clinici</w:t>
      </w:r>
      <w:r w:rsidR="0024611F" w:rsidRPr="002756CB">
        <w:t>ans</w:t>
      </w:r>
      <w:r w:rsidR="000E4302" w:rsidRPr="002756CB">
        <w:t>.</w:t>
      </w:r>
    </w:p>
    <w:p w14:paraId="3120C9E2" w14:textId="77777777" w:rsidR="000E4302" w:rsidRPr="002756CB" w:rsidRDefault="000E4302" w:rsidP="000E4302">
      <w:pPr>
        <w:pStyle w:val="ListParagraph"/>
        <w:ind w:left="709"/>
      </w:pPr>
    </w:p>
    <w:p w14:paraId="37984989" w14:textId="11F48D3D" w:rsidR="002756CB" w:rsidRPr="00FB50FF" w:rsidRDefault="000E4302" w:rsidP="002756CB">
      <w:pPr>
        <w:pStyle w:val="ListParagraph"/>
        <w:numPr>
          <w:ilvl w:val="0"/>
          <w:numId w:val="3"/>
        </w:numPr>
      </w:pPr>
      <w:r w:rsidRPr="002756CB">
        <w:t xml:space="preserve">In </w:t>
      </w:r>
      <w:r w:rsidRPr="002756CB">
        <w:rPr>
          <w:b/>
        </w:rPr>
        <w:t xml:space="preserve">Table 1 </w:t>
      </w:r>
      <w:r w:rsidRPr="002756CB">
        <w:t xml:space="preserve">we share </w:t>
      </w:r>
      <w:r w:rsidR="00705935" w:rsidRPr="002756CB">
        <w:t xml:space="preserve">various classification systems. </w:t>
      </w:r>
      <w:r w:rsidR="00F92A0B" w:rsidRPr="002756CB">
        <w:t xml:space="preserve">NHS England currently uses </w:t>
      </w:r>
      <w:r w:rsidR="002756CB" w:rsidRPr="002756CB">
        <w:rPr>
          <w:rFonts w:cs="Arial"/>
        </w:rPr>
        <w:t xml:space="preserve">an abridged version of the </w:t>
      </w:r>
      <w:r w:rsidR="00AF626F">
        <w:rPr>
          <w:rFonts w:cs="Arial"/>
        </w:rPr>
        <w:t>Global Burden of Disease (</w:t>
      </w:r>
      <w:r w:rsidR="002756CB" w:rsidRPr="002756CB">
        <w:rPr>
          <w:rFonts w:cs="Arial"/>
        </w:rPr>
        <w:t>GBD</w:t>
      </w:r>
      <w:r w:rsidR="00AF626F">
        <w:rPr>
          <w:rFonts w:cs="Arial"/>
        </w:rPr>
        <w:t>) expert</w:t>
      </w:r>
      <w:r w:rsidR="002756CB" w:rsidRPr="002756CB">
        <w:rPr>
          <w:rFonts w:cs="Arial"/>
        </w:rPr>
        <w:t xml:space="preserve"> </w:t>
      </w:r>
      <w:r w:rsidR="00AF626F">
        <w:rPr>
          <w:rFonts w:cs="Arial"/>
        </w:rPr>
        <w:t>group criteria</w:t>
      </w:r>
      <w:r w:rsidR="002756CB" w:rsidRPr="002756CB">
        <w:rPr>
          <w:rStyle w:val="FootnoteReference"/>
          <w:rFonts w:cs="Arial"/>
        </w:rPr>
        <w:footnoteReference w:id="7"/>
      </w:r>
      <w:r w:rsidR="002756CB" w:rsidRPr="002756CB">
        <w:rPr>
          <w:rFonts w:cs="Arial"/>
        </w:rPr>
        <w:t>. A forthcoming national JSNA guide (coproduce</w:t>
      </w:r>
      <w:r w:rsidR="006653BD">
        <w:rPr>
          <w:rFonts w:cs="Arial"/>
        </w:rPr>
        <w:t>d</w:t>
      </w:r>
      <w:r w:rsidR="002756CB" w:rsidRPr="002756CB">
        <w:rPr>
          <w:rFonts w:cs="Arial"/>
        </w:rPr>
        <w:t xml:space="preserve"> by NHS England, the Local Government Association and the Association of Directors of Public Health) will also use the NHS England </w:t>
      </w:r>
      <w:r w:rsidR="00AF626F" w:rsidRPr="002756CB">
        <w:rPr>
          <w:rFonts w:cs="Arial"/>
        </w:rPr>
        <w:t xml:space="preserve">abridged </w:t>
      </w:r>
      <w:r w:rsidR="00AF626F">
        <w:rPr>
          <w:rFonts w:cs="Arial"/>
        </w:rPr>
        <w:t xml:space="preserve">GBD </w:t>
      </w:r>
      <w:r w:rsidR="00AF626F" w:rsidRPr="002756CB">
        <w:rPr>
          <w:rFonts w:cs="Arial"/>
        </w:rPr>
        <w:t>version</w:t>
      </w:r>
      <w:r w:rsidR="00AF626F">
        <w:rPr>
          <w:rFonts w:cs="Arial"/>
        </w:rPr>
        <w:t>.</w:t>
      </w:r>
    </w:p>
    <w:p w14:paraId="07233EC4" w14:textId="77777777" w:rsidR="00FB50FF" w:rsidRPr="00FB50FF" w:rsidRDefault="00FB50FF" w:rsidP="00FB50FF">
      <w:pPr>
        <w:pStyle w:val="ListParagraph"/>
        <w:ind w:left="360"/>
      </w:pPr>
    </w:p>
    <w:p w14:paraId="1F3F0AF3" w14:textId="2A2B8FC4" w:rsidR="00FB50FF" w:rsidRDefault="00AF626F" w:rsidP="000F05FE">
      <w:pPr>
        <w:pStyle w:val="ListParagraph"/>
        <w:numPr>
          <w:ilvl w:val="0"/>
          <w:numId w:val="3"/>
        </w:numPr>
        <w:spacing w:after="0"/>
        <w:ind w:hanging="357"/>
      </w:pPr>
      <w:r>
        <w:lastRenderedPageBreak/>
        <w:t>We</w:t>
      </w:r>
      <w:r w:rsidR="00FB50FF" w:rsidRPr="002756CB">
        <w:t xml:space="preserve"> recommend that NICE</w:t>
      </w:r>
    </w:p>
    <w:p w14:paraId="3F54B731" w14:textId="1A179789" w:rsidR="003E34EC" w:rsidRPr="003E34EC" w:rsidRDefault="00EE50F8" w:rsidP="000F05FE">
      <w:pPr>
        <w:pStyle w:val="ListParagraph"/>
        <w:numPr>
          <w:ilvl w:val="0"/>
          <w:numId w:val="5"/>
        </w:numPr>
        <w:spacing w:after="0"/>
        <w:ind w:hanging="357"/>
      </w:pPr>
      <w:proofErr w:type="gramStart"/>
      <w:r>
        <w:t>uses</w:t>
      </w:r>
      <w:proofErr w:type="gramEnd"/>
      <w:r>
        <w:t xml:space="preserve"> the same</w:t>
      </w:r>
      <w:r w:rsidR="00BF7E27">
        <w:t xml:space="preserve"> categories/descriptors of hearing loss </w:t>
      </w:r>
      <w:r>
        <w:t xml:space="preserve">as </w:t>
      </w:r>
      <w:r w:rsidR="00BF7E27">
        <w:t>NHS</w:t>
      </w:r>
      <w:r w:rsidR="000F05FE">
        <w:t xml:space="preserve"> England </w:t>
      </w:r>
      <w:r w:rsidR="00BF7E27">
        <w:t>guidance</w:t>
      </w:r>
      <w:r>
        <w:t xml:space="preserve">. This will </w:t>
      </w:r>
      <w:r w:rsidR="003E34EC">
        <w:t>improve consistency</w:t>
      </w:r>
      <w:r>
        <w:t xml:space="preserve"> and </w:t>
      </w:r>
      <w:r w:rsidR="00F03FCE">
        <w:t>aid dissemination</w:t>
      </w:r>
      <w:r w:rsidR="00D30336">
        <w:t>. The original</w:t>
      </w:r>
      <w:r w:rsidR="003E34EC">
        <w:t xml:space="preserve"> </w:t>
      </w:r>
      <w:r w:rsidR="00F03FCE">
        <w:t xml:space="preserve">criteria </w:t>
      </w:r>
      <w:r w:rsidR="003E34EC">
        <w:t>can be found in</w:t>
      </w:r>
      <w:r w:rsidR="003E34EC" w:rsidRPr="00AF626F">
        <w:rPr>
          <w:i/>
        </w:rPr>
        <w:t xml:space="preserve"> </w:t>
      </w:r>
      <w:r w:rsidRPr="00277DB7">
        <w:t>Stevens et al. 2011</w:t>
      </w:r>
      <w:r w:rsidRPr="00277DB7">
        <w:rPr>
          <w:rStyle w:val="FootnoteReference"/>
        </w:rPr>
        <w:footnoteReference w:id="8"/>
      </w:r>
      <w:r w:rsidR="00277DB7">
        <w:rPr>
          <w:rFonts w:cs="Arial"/>
        </w:rPr>
        <w:t>, for ease of reference</w:t>
      </w:r>
      <w:r w:rsidR="00D805B1">
        <w:rPr>
          <w:rFonts w:cs="Arial"/>
        </w:rPr>
        <w:t xml:space="preserve"> this</w:t>
      </w:r>
      <w:r w:rsidR="003E34EC">
        <w:rPr>
          <w:rFonts w:cs="Arial"/>
        </w:rPr>
        <w:t xml:space="preserve"> is also highlighted in green in </w:t>
      </w:r>
      <w:r w:rsidR="003E34EC" w:rsidRPr="003E34EC">
        <w:rPr>
          <w:rFonts w:cs="Arial"/>
          <w:b/>
        </w:rPr>
        <w:t>Table 1</w:t>
      </w:r>
      <w:r w:rsidR="003E34EC">
        <w:rPr>
          <w:rFonts w:cs="Arial"/>
        </w:rPr>
        <w:t xml:space="preserve"> below. </w:t>
      </w:r>
    </w:p>
    <w:p w14:paraId="13D6DF3F" w14:textId="175EC12C" w:rsidR="00933EB3" w:rsidRPr="00F1692B" w:rsidRDefault="00357F47" w:rsidP="00F1692B">
      <w:pPr>
        <w:pStyle w:val="ListParagraph"/>
        <w:numPr>
          <w:ilvl w:val="0"/>
          <w:numId w:val="5"/>
        </w:numPr>
      </w:pPr>
      <w:bookmarkStart w:id="0" w:name="_GoBack"/>
      <w:bookmarkEnd w:id="0"/>
      <w:proofErr w:type="gramStart"/>
      <w:r>
        <w:t>stops</w:t>
      </w:r>
      <w:proofErr w:type="gramEnd"/>
      <w:r>
        <w:t xml:space="preserve"> using its own definition of </w:t>
      </w:r>
      <w:r w:rsidR="00F03FCE">
        <w:t>“</w:t>
      </w:r>
      <w:r w:rsidR="003E34EC">
        <w:t>severe to profound hearing loss</w:t>
      </w:r>
      <w:r w:rsidR="00F03FCE">
        <w:t>”</w:t>
      </w:r>
      <w:r>
        <w:t xml:space="preserve"> which can mislead the public and non-specialist clinicians into assuming </w:t>
      </w:r>
      <w:r w:rsidR="00F2428D">
        <w:t xml:space="preserve">that </w:t>
      </w:r>
      <w:r>
        <w:t>all people with “severe” losses</w:t>
      </w:r>
      <w:r w:rsidR="00A32939">
        <w:t xml:space="preserve"> (ranging from 71-90) might </w:t>
      </w:r>
      <w:r>
        <w:t xml:space="preserve">be eligible if they fail a specified word test. </w:t>
      </w:r>
      <w:r w:rsidR="00F2428D">
        <w:t xml:space="preserve"> Whereas, </w:t>
      </w:r>
      <w:r>
        <w:t>based on existing criteria</w:t>
      </w:r>
      <w:r w:rsidR="00F2428D">
        <w:t xml:space="preserve"> in</w:t>
      </w:r>
      <w:r>
        <w:t xml:space="preserve"> TA166 and prevalence data, the vast majority of people with a “severe” loss are unlikely to be eligible. </w:t>
      </w:r>
      <w:r w:rsidR="008D54D6">
        <w:t xml:space="preserve"> NICE </w:t>
      </w:r>
      <w:r w:rsidR="00A977ED">
        <w:t>should therefore make</w:t>
      </w:r>
      <w:r w:rsidR="008D54D6">
        <w:t xml:space="preserve"> clear that </w:t>
      </w:r>
      <w:r w:rsidR="00A977ED">
        <w:t xml:space="preserve">TA166 </w:t>
      </w:r>
      <w:r w:rsidR="00F1692B">
        <w:t>is</w:t>
      </w:r>
      <w:r w:rsidR="008D54D6">
        <w:t xml:space="preserve"> most likely to apply to people with profound hearing loss </w:t>
      </w:r>
      <w:r w:rsidR="00F1692B">
        <w:t xml:space="preserve">that </w:t>
      </w:r>
      <w:r w:rsidR="003E34EC">
        <w:t>do not benefit from conventional hearing aids</w:t>
      </w:r>
      <w:r w:rsidR="00852A64">
        <w:t xml:space="preserve">, setting out </w:t>
      </w:r>
      <w:r w:rsidR="00154DB6" w:rsidRPr="00154DB6">
        <w:rPr>
          <w:i/>
        </w:rPr>
        <w:t>more</w:t>
      </w:r>
      <w:r w:rsidR="00154DB6">
        <w:t xml:space="preserve"> </w:t>
      </w:r>
      <w:r w:rsidR="00852A64">
        <w:t>clearly whether it recommends a threshold of 80dBHL (as recommended above) or 90dBHL (as per existing guidance) and at which frequencies</w:t>
      </w:r>
      <w:r w:rsidR="00485B9A">
        <w:t xml:space="preserve"> this should be measured</w:t>
      </w:r>
      <w:r w:rsidR="00852A64">
        <w:t xml:space="preserve">. </w:t>
      </w:r>
      <w:r w:rsidR="004C5040">
        <w:t xml:space="preserve"> </w:t>
      </w:r>
    </w:p>
    <w:tbl>
      <w:tblPr>
        <w:tblStyle w:val="TableGrid"/>
        <w:tblpPr w:leftFromText="180" w:rightFromText="180" w:vertAnchor="text" w:horzAnchor="margin" w:tblpX="426" w:tblpY="-32"/>
        <w:tblW w:w="8478" w:type="dxa"/>
        <w:tblLook w:val="04A0" w:firstRow="1" w:lastRow="0" w:firstColumn="1" w:lastColumn="0" w:noHBand="0" w:noVBand="1"/>
      </w:tblPr>
      <w:tblGrid>
        <w:gridCol w:w="1985"/>
        <w:gridCol w:w="1537"/>
        <w:gridCol w:w="1843"/>
        <w:gridCol w:w="3113"/>
      </w:tblGrid>
      <w:tr w:rsidR="00933EB3" w:rsidRPr="002756CB" w14:paraId="7EFDB1B1" w14:textId="77777777" w:rsidTr="00B83CC4">
        <w:tc>
          <w:tcPr>
            <w:tcW w:w="1985" w:type="dxa"/>
            <w:tcBorders>
              <w:top w:val="nil"/>
              <w:left w:val="nil"/>
            </w:tcBorders>
          </w:tcPr>
          <w:p w14:paraId="2E7054A0" w14:textId="77777777" w:rsidR="00933EB3" w:rsidRPr="002756CB" w:rsidRDefault="00933EB3" w:rsidP="00B83CC4">
            <w:pPr>
              <w:rPr>
                <w:sz w:val="18"/>
              </w:rPr>
            </w:pPr>
          </w:p>
        </w:tc>
        <w:tc>
          <w:tcPr>
            <w:tcW w:w="6493" w:type="dxa"/>
            <w:gridSpan w:val="3"/>
            <w:shd w:val="clear" w:color="auto" w:fill="BFBFBF" w:themeFill="background1" w:themeFillShade="BF"/>
          </w:tcPr>
          <w:p w14:paraId="266B5737" w14:textId="77777777" w:rsidR="00933EB3" w:rsidRPr="002756CB" w:rsidRDefault="00933EB3" w:rsidP="00B83CC4">
            <w:pPr>
              <w:jc w:val="center"/>
              <w:rPr>
                <w:sz w:val="18"/>
              </w:rPr>
            </w:pPr>
            <w:r w:rsidRPr="002756CB">
              <w:rPr>
                <w:sz w:val="18"/>
              </w:rPr>
              <w:t>Classification system</w:t>
            </w:r>
          </w:p>
        </w:tc>
      </w:tr>
      <w:tr w:rsidR="00933EB3" w:rsidRPr="002756CB" w14:paraId="5F971E06" w14:textId="77777777" w:rsidTr="00B83CC4">
        <w:tc>
          <w:tcPr>
            <w:tcW w:w="1985" w:type="dxa"/>
            <w:shd w:val="clear" w:color="auto" w:fill="BFBFBF" w:themeFill="background1" w:themeFillShade="BF"/>
          </w:tcPr>
          <w:p w14:paraId="6596D5E6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 xml:space="preserve">Hearing impairment category </w:t>
            </w:r>
          </w:p>
        </w:tc>
        <w:tc>
          <w:tcPr>
            <w:tcW w:w="1537" w:type="dxa"/>
            <w:shd w:val="clear" w:color="auto" w:fill="BFBFBF" w:themeFill="background1" w:themeFillShade="BF"/>
            <w:vAlign w:val="center"/>
          </w:tcPr>
          <w:p w14:paraId="6698C978" w14:textId="77777777" w:rsidR="00933EB3" w:rsidRPr="002756CB" w:rsidRDefault="00933EB3" w:rsidP="00B83CC4">
            <w:pPr>
              <w:jc w:val="center"/>
              <w:rPr>
                <w:sz w:val="18"/>
              </w:rPr>
            </w:pPr>
            <w:r w:rsidRPr="002756CB">
              <w:rPr>
                <w:sz w:val="18"/>
              </w:rPr>
              <w:t>WHO</w:t>
            </w:r>
            <w:r w:rsidRPr="002756CB">
              <w:rPr>
                <w:rStyle w:val="FootnoteReference"/>
                <w:sz w:val="18"/>
              </w:rPr>
              <w:footnoteReference w:id="9"/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0E75F689" w14:textId="77777777" w:rsidR="00933EB3" w:rsidRPr="002756CB" w:rsidRDefault="00933EB3" w:rsidP="00B83CC4">
            <w:pPr>
              <w:jc w:val="center"/>
              <w:rPr>
                <w:sz w:val="18"/>
              </w:rPr>
            </w:pPr>
            <w:r w:rsidRPr="002756CB">
              <w:rPr>
                <w:sz w:val="18"/>
              </w:rPr>
              <w:t>BSA</w:t>
            </w:r>
            <w:r w:rsidRPr="002756CB">
              <w:rPr>
                <w:rStyle w:val="FootnoteReference"/>
                <w:sz w:val="18"/>
              </w:rPr>
              <w:footnoteReference w:id="10"/>
            </w:r>
          </w:p>
        </w:tc>
        <w:tc>
          <w:tcPr>
            <w:tcW w:w="3113" w:type="dxa"/>
            <w:shd w:val="clear" w:color="auto" w:fill="92D050"/>
            <w:vAlign w:val="center"/>
          </w:tcPr>
          <w:p w14:paraId="5E7F957F" w14:textId="77777777" w:rsidR="00933EB3" w:rsidRPr="002756CB" w:rsidRDefault="00933EB3" w:rsidP="00B83CC4">
            <w:pPr>
              <w:jc w:val="center"/>
              <w:rPr>
                <w:sz w:val="18"/>
              </w:rPr>
            </w:pPr>
            <w:r w:rsidRPr="002756CB">
              <w:rPr>
                <w:sz w:val="18"/>
              </w:rPr>
              <w:t>GBD Group</w:t>
            </w:r>
            <w:r w:rsidRPr="002756CB">
              <w:rPr>
                <w:rStyle w:val="FootnoteReference"/>
                <w:sz w:val="18"/>
              </w:rPr>
              <w:footnoteReference w:id="11"/>
            </w:r>
          </w:p>
        </w:tc>
      </w:tr>
      <w:tr w:rsidR="00933EB3" w:rsidRPr="002756CB" w14:paraId="5A7C878C" w14:textId="77777777" w:rsidTr="00B83CC4">
        <w:tc>
          <w:tcPr>
            <w:tcW w:w="1985" w:type="dxa"/>
          </w:tcPr>
          <w:p w14:paraId="4367B3CE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 xml:space="preserve">Unilateral </w:t>
            </w:r>
          </w:p>
        </w:tc>
        <w:tc>
          <w:tcPr>
            <w:tcW w:w="1537" w:type="dxa"/>
          </w:tcPr>
          <w:p w14:paraId="7C69C7B0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NA</w:t>
            </w:r>
          </w:p>
        </w:tc>
        <w:tc>
          <w:tcPr>
            <w:tcW w:w="1843" w:type="dxa"/>
          </w:tcPr>
          <w:p w14:paraId="011EB3B0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NA</w:t>
            </w:r>
          </w:p>
        </w:tc>
        <w:tc>
          <w:tcPr>
            <w:tcW w:w="3113" w:type="dxa"/>
            <w:shd w:val="clear" w:color="auto" w:fill="92D050"/>
          </w:tcPr>
          <w:p w14:paraId="11E00716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 xml:space="preserve">&lt;20 in the better ear; ≥35 in the worse ear </w:t>
            </w:r>
          </w:p>
        </w:tc>
      </w:tr>
      <w:tr w:rsidR="00933EB3" w:rsidRPr="002756CB" w14:paraId="3DF833C5" w14:textId="77777777" w:rsidTr="00B83CC4">
        <w:tc>
          <w:tcPr>
            <w:tcW w:w="1985" w:type="dxa"/>
          </w:tcPr>
          <w:p w14:paraId="7668DFCF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 xml:space="preserve">Mild </w:t>
            </w:r>
          </w:p>
        </w:tc>
        <w:tc>
          <w:tcPr>
            <w:tcW w:w="1537" w:type="dxa"/>
          </w:tcPr>
          <w:p w14:paraId="305EF78B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26-40</w:t>
            </w:r>
          </w:p>
        </w:tc>
        <w:tc>
          <w:tcPr>
            <w:tcW w:w="1843" w:type="dxa"/>
          </w:tcPr>
          <w:p w14:paraId="464B6657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20-40</w:t>
            </w:r>
          </w:p>
        </w:tc>
        <w:tc>
          <w:tcPr>
            <w:tcW w:w="3113" w:type="dxa"/>
            <w:shd w:val="clear" w:color="auto" w:fill="92D050"/>
          </w:tcPr>
          <w:p w14:paraId="55A1DF16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20-34</w:t>
            </w:r>
          </w:p>
        </w:tc>
      </w:tr>
      <w:tr w:rsidR="00933EB3" w:rsidRPr="002756CB" w14:paraId="0874C095" w14:textId="77777777" w:rsidTr="00B83CC4">
        <w:tc>
          <w:tcPr>
            <w:tcW w:w="1985" w:type="dxa"/>
          </w:tcPr>
          <w:p w14:paraId="75E6F22B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 xml:space="preserve">Moderate </w:t>
            </w:r>
          </w:p>
        </w:tc>
        <w:tc>
          <w:tcPr>
            <w:tcW w:w="1537" w:type="dxa"/>
          </w:tcPr>
          <w:p w14:paraId="37E54126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41-60</w:t>
            </w:r>
          </w:p>
        </w:tc>
        <w:tc>
          <w:tcPr>
            <w:tcW w:w="1843" w:type="dxa"/>
          </w:tcPr>
          <w:p w14:paraId="71012D70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41-70</w:t>
            </w:r>
          </w:p>
        </w:tc>
        <w:tc>
          <w:tcPr>
            <w:tcW w:w="3113" w:type="dxa"/>
            <w:shd w:val="clear" w:color="auto" w:fill="92D050"/>
          </w:tcPr>
          <w:p w14:paraId="55390B56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35-49</w:t>
            </w:r>
          </w:p>
        </w:tc>
      </w:tr>
      <w:tr w:rsidR="00933EB3" w:rsidRPr="002756CB" w14:paraId="123DA748" w14:textId="77777777" w:rsidTr="00F03FCE">
        <w:tc>
          <w:tcPr>
            <w:tcW w:w="1985" w:type="dxa"/>
            <w:shd w:val="clear" w:color="auto" w:fill="auto"/>
          </w:tcPr>
          <w:p w14:paraId="020CBB8C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Moderately/Severe</w:t>
            </w:r>
          </w:p>
        </w:tc>
        <w:tc>
          <w:tcPr>
            <w:tcW w:w="1537" w:type="dxa"/>
            <w:shd w:val="clear" w:color="auto" w:fill="auto"/>
          </w:tcPr>
          <w:p w14:paraId="3D838BCD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NA</w:t>
            </w:r>
          </w:p>
        </w:tc>
        <w:tc>
          <w:tcPr>
            <w:tcW w:w="1843" w:type="dxa"/>
            <w:shd w:val="clear" w:color="auto" w:fill="auto"/>
          </w:tcPr>
          <w:p w14:paraId="7A971C2D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NA</w:t>
            </w:r>
          </w:p>
        </w:tc>
        <w:tc>
          <w:tcPr>
            <w:tcW w:w="3113" w:type="dxa"/>
            <w:shd w:val="clear" w:color="auto" w:fill="92D050"/>
          </w:tcPr>
          <w:p w14:paraId="1220DFFD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50-64</w:t>
            </w:r>
          </w:p>
        </w:tc>
      </w:tr>
      <w:tr w:rsidR="003E34EC" w:rsidRPr="002756CB" w14:paraId="2D3C300D" w14:textId="77777777" w:rsidTr="00B83CC4">
        <w:tc>
          <w:tcPr>
            <w:tcW w:w="1985" w:type="dxa"/>
            <w:shd w:val="clear" w:color="auto" w:fill="FF0000"/>
          </w:tcPr>
          <w:p w14:paraId="62473BBD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 xml:space="preserve">Severe </w:t>
            </w:r>
          </w:p>
        </w:tc>
        <w:tc>
          <w:tcPr>
            <w:tcW w:w="1537" w:type="dxa"/>
            <w:shd w:val="clear" w:color="auto" w:fill="FF0000"/>
          </w:tcPr>
          <w:p w14:paraId="61CB9F8B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61-80</w:t>
            </w:r>
          </w:p>
        </w:tc>
        <w:tc>
          <w:tcPr>
            <w:tcW w:w="1843" w:type="dxa"/>
            <w:shd w:val="clear" w:color="auto" w:fill="FF0000"/>
          </w:tcPr>
          <w:p w14:paraId="5BB48830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71-95</w:t>
            </w:r>
          </w:p>
        </w:tc>
        <w:tc>
          <w:tcPr>
            <w:tcW w:w="3113" w:type="dxa"/>
            <w:shd w:val="clear" w:color="auto" w:fill="92D050"/>
          </w:tcPr>
          <w:p w14:paraId="37D97A78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65-79</w:t>
            </w:r>
          </w:p>
        </w:tc>
      </w:tr>
      <w:tr w:rsidR="003E34EC" w:rsidRPr="002756CB" w14:paraId="6D640901" w14:textId="77777777" w:rsidTr="00B83CC4">
        <w:tc>
          <w:tcPr>
            <w:tcW w:w="1985" w:type="dxa"/>
            <w:shd w:val="clear" w:color="auto" w:fill="FF0000"/>
          </w:tcPr>
          <w:p w14:paraId="790C301F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 xml:space="preserve">Profound </w:t>
            </w:r>
          </w:p>
        </w:tc>
        <w:tc>
          <w:tcPr>
            <w:tcW w:w="1537" w:type="dxa"/>
            <w:shd w:val="clear" w:color="auto" w:fill="FF0000"/>
          </w:tcPr>
          <w:p w14:paraId="639F0773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&gt;80</w:t>
            </w:r>
          </w:p>
        </w:tc>
        <w:tc>
          <w:tcPr>
            <w:tcW w:w="1843" w:type="dxa"/>
            <w:shd w:val="clear" w:color="auto" w:fill="FF0000"/>
          </w:tcPr>
          <w:p w14:paraId="66EDC016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&gt;95</w:t>
            </w:r>
          </w:p>
        </w:tc>
        <w:tc>
          <w:tcPr>
            <w:tcW w:w="3113" w:type="dxa"/>
            <w:shd w:val="clear" w:color="auto" w:fill="92D050"/>
          </w:tcPr>
          <w:p w14:paraId="49EEE8C1" w14:textId="77777777" w:rsidR="00933EB3" w:rsidRPr="002756CB" w:rsidRDefault="00933EB3" w:rsidP="00B83CC4">
            <w:pPr>
              <w:rPr>
                <w:sz w:val="18"/>
              </w:rPr>
            </w:pPr>
            <w:r w:rsidRPr="002756CB">
              <w:rPr>
                <w:sz w:val="18"/>
              </w:rPr>
              <w:t>80-94</w:t>
            </w:r>
          </w:p>
        </w:tc>
      </w:tr>
    </w:tbl>
    <w:p w14:paraId="0C507960" w14:textId="6A313977" w:rsidR="00144221" w:rsidRPr="002756CB" w:rsidRDefault="00144221" w:rsidP="00144221">
      <w:pPr>
        <w:pStyle w:val="ListParagraph"/>
        <w:ind w:left="360"/>
        <w:rPr>
          <w:sz w:val="18"/>
        </w:rPr>
      </w:pPr>
      <w:r w:rsidRPr="002756CB">
        <w:rPr>
          <w:b/>
          <w:sz w:val="18"/>
        </w:rPr>
        <w:t>Table 1:</w:t>
      </w:r>
      <w:r w:rsidRPr="002756CB">
        <w:rPr>
          <w:sz w:val="18"/>
        </w:rPr>
        <w:t xml:space="preserve"> Classification systems for the severity of hearing loss, better ear threshold in decibels over average frequencies 0.5, 1, 2 and </w:t>
      </w:r>
      <w:proofErr w:type="gramStart"/>
      <w:r w:rsidRPr="002756CB">
        <w:rPr>
          <w:sz w:val="18"/>
        </w:rPr>
        <w:t>4kHZ</w:t>
      </w:r>
      <w:proofErr w:type="gramEnd"/>
      <w:r w:rsidRPr="002756CB">
        <w:rPr>
          <w:sz w:val="18"/>
        </w:rPr>
        <w:t xml:space="preserve"> (dB HL)</w:t>
      </w:r>
    </w:p>
    <w:p w14:paraId="7D7685EF" w14:textId="1523C7AD" w:rsidR="00144221" w:rsidRPr="000108FA" w:rsidRDefault="00BA00AC" w:rsidP="00BA00AC">
      <w:pPr>
        <w:rPr>
          <w:rFonts w:cs="Arial"/>
          <w:b/>
          <w:u w:val="single"/>
        </w:rPr>
      </w:pPr>
      <w:r w:rsidRPr="000108FA">
        <w:rPr>
          <w:rFonts w:cs="Arial"/>
          <w:b/>
          <w:u w:val="single"/>
        </w:rPr>
        <w:t xml:space="preserve">Other comments </w:t>
      </w:r>
    </w:p>
    <w:p w14:paraId="5071FAB6" w14:textId="5A08648C" w:rsidR="003619AC" w:rsidRDefault="0049187F" w:rsidP="00F12BCC">
      <w:pPr>
        <w:pStyle w:val="ListParagraph"/>
        <w:numPr>
          <w:ilvl w:val="0"/>
          <w:numId w:val="3"/>
        </w:numPr>
      </w:pPr>
      <w:r>
        <w:t xml:space="preserve">Changing the criteria from 90dBHL to 80dBHL is unlikely to have a significant impact on NHS resources, especially given </w:t>
      </w:r>
      <w:r w:rsidR="00690D34">
        <w:t>additional</w:t>
      </w:r>
      <w:r w:rsidR="000D12C8">
        <w:t xml:space="preserve"> eligibility</w:t>
      </w:r>
      <w:r w:rsidR="00690D34">
        <w:t xml:space="preserve"> criteria (e.g. </w:t>
      </w:r>
      <w:r>
        <w:t xml:space="preserve">need to try conventional hearing aids and </w:t>
      </w:r>
      <w:r w:rsidR="00690D34">
        <w:t xml:space="preserve">also undertake a specified </w:t>
      </w:r>
      <w:r>
        <w:t>word test</w:t>
      </w:r>
      <w:r w:rsidR="00690D34">
        <w:t>)</w:t>
      </w:r>
      <w:r>
        <w:t xml:space="preserve">. </w:t>
      </w:r>
      <w:r w:rsidR="000E115A">
        <w:t xml:space="preserve"> For example</w:t>
      </w:r>
    </w:p>
    <w:p w14:paraId="38C32758" w14:textId="25259527" w:rsidR="00401B8D" w:rsidRDefault="0049187F" w:rsidP="003619AC">
      <w:pPr>
        <w:pStyle w:val="ListParagraph"/>
        <w:numPr>
          <w:ilvl w:val="0"/>
          <w:numId w:val="6"/>
        </w:numPr>
      </w:pPr>
      <w:r>
        <w:t xml:space="preserve">the prevalence data in </w:t>
      </w:r>
      <w:r w:rsidRPr="003619AC">
        <w:rPr>
          <w:b/>
        </w:rPr>
        <w:t>Table 2</w:t>
      </w:r>
      <w:r w:rsidR="00435B47">
        <w:t xml:space="preserve"> show</w:t>
      </w:r>
      <w:r w:rsidR="000E115A">
        <w:t xml:space="preserve"> </w:t>
      </w:r>
      <w:r w:rsidR="00435B47">
        <w:t>that very few adults</w:t>
      </w:r>
      <w:r w:rsidR="000E115A">
        <w:t xml:space="preserve"> are likely to meet </w:t>
      </w:r>
      <w:r w:rsidR="00690D34">
        <w:t>the 80</w:t>
      </w:r>
      <w:r w:rsidR="00946942">
        <w:t xml:space="preserve">dBHL </w:t>
      </w:r>
      <w:r w:rsidR="00690D34">
        <w:t xml:space="preserve">or 90dBHL </w:t>
      </w:r>
      <w:r w:rsidR="000E115A">
        <w:t xml:space="preserve">threshold </w:t>
      </w:r>
      <w:r w:rsidR="00401B8D">
        <w:t>criteria</w:t>
      </w:r>
    </w:p>
    <w:p w14:paraId="4EC7D55B" w14:textId="4BB04D9C" w:rsidR="00435B47" w:rsidRDefault="00401B8D" w:rsidP="003619AC">
      <w:pPr>
        <w:pStyle w:val="ListParagraph"/>
        <w:numPr>
          <w:ilvl w:val="0"/>
          <w:numId w:val="6"/>
        </w:numPr>
      </w:pPr>
      <w:r>
        <w:t xml:space="preserve">an estimated </w:t>
      </w:r>
      <w:r w:rsidR="003619AC">
        <w:t xml:space="preserve">0.4% </w:t>
      </w:r>
      <w:r>
        <w:t>to</w:t>
      </w:r>
      <w:r w:rsidR="00435B47">
        <w:t xml:space="preserve"> 0.7% </w:t>
      </w:r>
      <w:r>
        <w:t>of the</w:t>
      </w:r>
      <w:r w:rsidR="00435B47">
        <w:t xml:space="preserve"> adult population</w:t>
      </w:r>
      <w:r w:rsidR="00FA0CB1">
        <w:t xml:space="preserve"> might have </w:t>
      </w:r>
      <w:r>
        <w:t>a loss of at least 80dBHL</w:t>
      </w:r>
    </w:p>
    <w:p w14:paraId="5C947D32" w14:textId="4580455B" w:rsidR="0049187F" w:rsidRDefault="00401B8D" w:rsidP="003619AC">
      <w:pPr>
        <w:pStyle w:val="ListParagraph"/>
        <w:numPr>
          <w:ilvl w:val="0"/>
          <w:numId w:val="6"/>
        </w:numPr>
      </w:pPr>
      <w:r>
        <w:t xml:space="preserve">an estimated </w:t>
      </w:r>
      <w:r w:rsidR="00D61C60">
        <w:t xml:space="preserve">0.1% </w:t>
      </w:r>
      <w:r w:rsidR="00293CB6">
        <w:t>to</w:t>
      </w:r>
      <w:r w:rsidR="00D61C60">
        <w:t xml:space="preserve"> 0.2%</w:t>
      </w:r>
      <w:r>
        <w:t xml:space="preserve"> of children </w:t>
      </w:r>
      <w:r w:rsidR="00FA0CB1">
        <w:t xml:space="preserve">might have </w:t>
      </w:r>
      <w:r>
        <w:t>a profound hearing loss</w:t>
      </w:r>
      <w:r>
        <w:rPr>
          <w:rStyle w:val="FootnoteReference"/>
        </w:rPr>
        <w:footnoteReference w:id="12"/>
      </w:r>
    </w:p>
    <w:p w14:paraId="6FE30DFE" w14:textId="60356C94" w:rsidR="00EE6DF0" w:rsidRDefault="009B469D" w:rsidP="003619AC">
      <w:pPr>
        <w:pStyle w:val="ListParagraph"/>
        <w:numPr>
          <w:ilvl w:val="0"/>
          <w:numId w:val="6"/>
        </w:numPr>
      </w:pPr>
      <w:proofErr w:type="gramStart"/>
      <w:r>
        <w:t>therefore</w:t>
      </w:r>
      <w:proofErr w:type="gramEnd"/>
      <w:r w:rsidR="00FA0CB1">
        <w:t xml:space="preserve"> </w:t>
      </w:r>
      <w:r w:rsidR="00D61C60">
        <w:t>taking a very conservative</w:t>
      </w:r>
      <w:r w:rsidR="001B4516">
        <w:rPr>
          <w:rStyle w:val="FootnoteReference"/>
        </w:rPr>
        <w:footnoteReference w:id="13"/>
      </w:r>
      <w:r w:rsidR="00D61C60">
        <w:t xml:space="preserve"> estimate that</w:t>
      </w:r>
      <w:r w:rsidR="002C3E43">
        <w:t xml:space="preserve"> 0.3</w:t>
      </w:r>
      <w:r w:rsidR="00D61C60">
        <w:t>% of the population</w:t>
      </w:r>
      <w:r w:rsidR="001B4516">
        <w:t xml:space="preserve"> would </w:t>
      </w:r>
      <w:r w:rsidR="00FA0CB1">
        <w:t>meet a 80dBHL threshold</w:t>
      </w:r>
      <w:r w:rsidR="001B4516">
        <w:t>, this would</w:t>
      </w:r>
      <w:r w:rsidR="00892B47">
        <w:t xml:space="preserve"> amount to </w:t>
      </w:r>
      <w:r w:rsidR="001B4516">
        <w:t xml:space="preserve"> make a</w:t>
      </w:r>
      <w:r w:rsidR="002C3E43">
        <w:t xml:space="preserve"> maximum of </w:t>
      </w:r>
      <w:r w:rsidR="00FB6FF9">
        <w:t>16</w:t>
      </w:r>
      <w:r w:rsidR="00FA0CB1">
        <w:t>3</w:t>
      </w:r>
      <w:r w:rsidR="00FB6FF9">
        <w:t>,</w:t>
      </w:r>
      <w:r w:rsidR="00FA0CB1">
        <w:t>000</w:t>
      </w:r>
      <w:r w:rsidR="001B4516">
        <w:t xml:space="preserve"> </w:t>
      </w:r>
      <w:r w:rsidR="002C3E43">
        <w:t>people</w:t>
      </w:r>
      <w:r w:rsidR="001D7DBC">
        <w:t xml:space="preserve"> </w:t>
      </w:r>
      <w:r w:rsidR="00FB6FF9">
        <w:t>theoretically eligible for Cochlear implants</w:t>
      </w:r>
      <w:r w:rsidR="002C3E43">
        <w:t xml:space="preserve"> in England</w:t>
      </w:r>
      <w:r w:rsidR="00FB6FF9">
        <w:t xml:space="preserve">. Most </w:t>
      </w:r>
      <w:r w:rsidR="00EE6DF0">
        <w:t xml:space="preserve">of these people </w:t>
      </w:r>
      <w:r w:rsidR="00FB6FF9">
        <w:t>would</w:t>
      </w:r>
      <w:r w:rsidR="00EE6DF0">
        <w:t xml:space="preserve"> however</w:t>
      </w:r>
      <w:r w:rsidR="00FB6FF9">
        <w:t xml:space="preserve"> benefit from conventional hearing aids</w:t>
      </w:r>
      <w:r w:rsidR="00EE6DF0">
        <w:t xml:space="preserve"> </w:t>
      </w:r>
      <w:r w:rsidR="00FB6FF9">
        <w:t xml:space="preserve">or </w:t>
      </w:r>
      <w:r w:rsidR="00FA0CB1">
        <w:t>pass an</w:t>
      </w:r>
      <w:r w:rsidR="00EE6DF0">
        <w:t xml:space="preserve"> AB word criteria</w:t>
      </w:r>
      <w:r w:rsidR="006653BD">
        <w:t>,</w:t>
      </w:r>
      <w:r w:rsidR="00FA0CB1">
        <w:t xml:space="preserve"> </w:t>
      </w:r>
      <w:r w:rsidR="006653BD">
        <w:t>and therefore</w:t>
      </w:r>
      <w:r w:rsidR="00FA0CB1">
        <w:t xml:space="preserve"> not </w:t>
      </w:r>
      <w:r w:rsidR="005015DB">
        <w:t xml:space="preserve">actually </w:t>
      </w:r>
      <w:r w:rsidR="00FA0CB1">
        <w:t>be eligible</w:t>
      </w:r>
      <w:r w:rsidR="001D7DBC">
        <w:rPr>
          <w:rStyle w:val="FootnoteReference"/>
        </w:rPr>
        <w:footnoteReference w:id="14"/>
      </w:r>
      <w:r w:rsidR="001D7DBC">
        <w:t xml:space="preserve"> </w:t>
      </w:r>
      <w:r w:rsidR="005015DB">
        <w:t xml:space="preserve"> </w:t>
      </w:r>
      <w:r w:rsidR="00FA0CB1">
        <w:t xml:space="preserve"> </w:t>
      </w:r>
    </w:p>
    <w:p w14:paraId="722E461F" w14:textId="77777777" w:rsidR="00FC3183" w:rsidRDefault="00FC3183" w:rsidP="00FC3183">
      <w:pPr>
        <w:pStyle w:val="ListParagraph"/>
        <w:ind w:left="360"/>
      </w:pPr>
    </w:p>
    <w:p w14:paraId="70094D92" w14:textId="181CD896" w:rsidR="00D61C60" w:rsidRDefault="00FC3183" w:rsidP="00A877C0">
      <w:pPr>
        <w:pStyle w:val="ListParagraph"/>
        <w:numPr>
          <w:ilvl w:val="0"/>
          <w:numId w:val="3"/>
        </w:numPr>
      </w:pPr>
      <w:r>
        <w:t>I</w:t>
      </w:r>
      <w:r w:rsidR="00EE6DF0">
        <w:t xml:space="preserve">n summary, </w:t>
      </w:r>
      <w:r w:rsidR="00A86499">
        <w:t>implementing recommendations in this submission</w:t>
      </w:r>
      <w:r w:rsidR="00EE6DF0">
        <w:t xml:space="preserve">, </w:t>
      </w:r>
      <w:r w:rsidR="00FA0CB1">
        <w:t xml:space="preserve">NICE is likely to </w:t>
      </w:r>
      <w:r w:rsidR="00EE6DF0">
        <w:t>improve dissemination of guidance</w:t>
      </w:r>
      <w:r w:rsidR="00A86499">
        <w:t xml:space="preserve"> and therefore make it more likely those people already eligible for </w:t>
      </w:r>
      <w:r w:rsidR="00EE6DF0">
        <w:t xml:space="preserve">NHS funded Cochlear implants </w:t>
      </w:r>
      <w:r w:rsidR="00A86499">
        <w:t xml:space="preserve">are actually referred, rather than increase the actual number of procedures by changing a treatment threshold in any meaningful way. </w:t>
      </w:r>
    </w:p>
    <w:p w14:paraId="34A5A8E4" w14:textId="77777777" w:rsidR="00A86499" w:rsidRDefault="00A86499" w:rsidP="00A86499">
      <w:pPr>
        <w:pStyle w:val="ListParagraph"/>
      </w:pPr>
    </w:p>
    <w:tbl>
      <w:tblPr>
        <w:tblStyle w:val="TableGrid"/>
        <w:tblpPr w:leftFromText="180" w:rightFromText="180" w:vertAnchor="text" w:horzAnchor="margin" w:tblpX="426" w:tblpY="-32"/>
        <w:tblW w:w="7716" w:type="dxa"/>
        <w:tblLook w:val="04A0" w:firstRow="1" w:lastRow="0" w:firstColumn="1" w:lastColumn="0" w:noHBand="0" w:noVBand="1"/>
      </w:tblPr>
      <w:tblGrid>
        <w:gridCol w:w="2002"/>
        <w:gridCol w:w="1550"/>
        <w:gridCol w:w="1859"/>
        <w:gridCol w:w="2305"/>
      </w:tblGrid>
      <w:tr w:rsidR="0049187F" w:rsidRPr="00A86499" w14:paraId="657D9A92" w14:textId="77777777" w:rsidTr="00A86499">
        <w:trPr>
          <w:trHeight w:val="318"/>
        </w:trPr>
        <w:tc>
          <w:tcPr>
            <w:tcW w:w="2002" w:type="dxa"/>
            <w:tcBorders>
              <w:top w:val="nil"/>
              <w:left w:val="nil"/>
            </w:tcBorders>
            <w:shd w:val="clear" w:color="auto" w:fill="auto"/>
          </w:tcPr>
          <w:p w14:paraId="3EBEB917" w14:textId="6A57FC4F" w:rsidR="0049187F" w:rsidRPr="00A86499" w:rsidRDefault="0049187F" w:rsidP="00F65A5F">
            <w:pPr>
              <w:rPr>
                <w:sz w:val="20"/>
              </w:rPr>
            </w:pPr>
          </w:p>
        </w:tc>
        <w:tc>
          <w:tcPr>
            <w:tcW w:w="1550" w:type="dxa"/>
            <w:shd w:val="clear" w:color="auto" w:fill="BFBFBF" w:themeFill="background1" w:themeFillShade="BF"/>
            <w:vAlign w:val="center"/>
          </w:tcPr>
          <w:p w14:paraId="35CF847E" w14:textId="7615A4EA" w:rsidR="0049187F" w:rsidRPr="00A86499" w:rsidRDefault="0049187F" w:rsidP="00F65A5F">
            <w:pPr>
              <w:jc w:val="center"/>
              <w:rPr>
                <w:sz w:val="20"/>
              </w:rPr>
            </w:pPr>
            <w:r w:rsidRPr="00A86499">
              <w:rPr>
                <w:sz w:val="20"/>
              </w:rPr>
              <w:t>75dBHL</w:t>
            </w:r>
          </w:p>
        </w:tc>
        <w:tc>
          <w:tcPr>
            <w:tcW w:w="1859" w:type="dxa"/>
            <w:shd w:val="clear" w:color="auto" w:fill="BFBFBF" w:themeFill="background1" w:themeFillShade="BF"/>
            <w:vAlign w:val="center"/>
          </w:tcPr>
          <w:p w14:paraId="751AA725" w14:textId="4DE22F19" w:rsidR="0049187F" w:rsidRPr="00A86499" w:rsidRDefault="0049187F" w:rsidP="00F65A5F">
            <w:pPr>
              <w:jc w:val="center"/>
              <w:rPr>
                <w:sz w:val="20"/>
              </w:rPr>
            </w:pPr>
            <w:r w:rsidRPr="00A86499">
              <w:rPr>
                <w:sz w:val="20"/>
              </w:rPr>
              <w:t xml:space="preserve">85 </w:t>
            </w:r>
            <w:proofErr w:type="spellStart"/>
            <w:r w:rsidRPr="00A86499">
              <w:rPr>
                <w:sz w:val="20"/>
              </w:rPr>
              <w:t>dBHL</w:t>
            </w:r>
            <w:proofErr w:type="spellEnd"/>
          </w:p>
        </w:tc>
        <w:tc>
          <w:tcPr>
            <w:tcW w:w="2305" w:type="dxa"/>
            <w:shd w:val="clear" w:color="auto" w:fill="BFBFBF" w:themeFill="background1" w:themeFillShade="BF"/>
            <w:vAlign w:val="center"/>
          </w:tcPr>
          <w:p w14:paraId="1A8B1A53" w14:textId="1984A041" w:rsidR="0049187F" w:rsidRPr="00A86499" w:rsidRDefault="0049187F" w:rsidP="00F65A5F">
            <w:pPr>
              <w:jc w:val="center"/>
              <w:rPr>
                <w:sz w:val="20"/>
              </w:rPr>
            </w:pPr>
            <w:r w:rsidRPr="00A86499">
              <w:rPr>
                <w:sz w:val="20"/>
              </w:rPr>
              <w:t xml:space="preserve">95 </w:t>
            </w:r>
            <w:proofErr w:type="spellStart"/>
            <w:r w:rsidRPr="00A86499">
              <w:rPr>
                <w:sz w:val="20"/>
              </w:rPr>
              <w:t>dBHL</w:t>
            </w:r>
            <w:proofErr w:type="spellEnd"/>
          </w:p>
        </w:tc>
      </w:tr>
      <w:tr w:rsidR="0049187F" w:rsidRPr="00A86499" w14:paraId="4B52B69F" w14:textId="77777777" w:rsidTr="00A86499">
        <w:trPr>
          <w:trHeight w:val="299"/>
        </w:trPr>
        <w:tc>
          <w:tcPr>
            <w:tcW w:w="2002" w:type="dxa"/>
            <w:shd w:val="clear" w:color="auto" w:fill="auto"/>
          </w:tcPr>
          <w:p w14:paraId="1E9FCAA1" w14:textId="2E1D8573" w:rsidR="0049187F" w:rsidRPr="00A86499" w:rsidRDefault="0049187F" w:rsidP="00F65A5F">
            <w:pPr>
              <w:rPr>
                <w:sz w:val="20"/>
              </w:rPr>
            </w:pPr>
            <w:r w:rsidRPr="00A86499">
              <w:rPr>
                <w:sz w:val="20"/>
              </w:rPr>
              <w:t xml:space="preserve">Prevalence </w:t>
            </w:r>
          </w:p>
        </w:tc>
        <w:tc>
          <w:tcPr>
            <w:tcW w:w="1550" w:type="dxa"/>
            <w:shd w:val="clear" w:color="auto" w:fill="auto"/>
          </w:tcPr>
          <w:p w14:paraId="732D3211" w14:textId="1372315C" w:rsidR="0049187F" w:rsidRPr="00A86499" w:rsidRDefault="0049187F" w:rsidP="0049187F">
            <w:pPr>
              <w:jc w:val="center"/>
              <w:rPr>
                <w:sz w:val="20"/>
              </w:rPr>
            </w:pPr>
            <w:r w:rsidRPr="00A86499">
              <w:rPr>
                <w:sz w:val="20"/>
              </w:rPr>
              <w:t>0.7%</w:t>
            </w:r>
          </w:p>
        </w:tc>
        <w:tc>
          <w:tcPr>
            <w:tcW w:w="1859" w:type="dxa"/>
            <w:shd w:val="clear" w:color="auto" w:fill="auto"/>
          </w:tcPr>
          <w:p w14:paraId="27E69D21" w14:textId="1EDC410F" w:rsidR="0049187F" w:rsidRPr="00A86499" w:rsidRDefault="0049187F" w:rsidP="0049187F">
            <w:pPr>
              <w:jc w:val="center"/>
              <w:rPr>
                <w:sz w:val="20"/>
              </w:rPr>
            </w:pPr>
            <w:r w:rsidRPr="00A86499">
              <w:rPr>
                <w:sz w:val="20"/>
              </w:rPr>
              <w:t>0.4%</w:t>
            </w:r>
          </w:p>
        </w:tc>
        <w:tc>
          <w:tcPr>
            <w:tcW w:w="2305" w:type="dxa"/>
            <w:shd w:val="clear" w:color="auto" w:fill="auto"/>
          </w:tcPr>
          <w:p w14:paraId="5526C4A4" w14:textId="02B89D7E" w:rsidR="0049187F" w:rsidRPr="00A86499" w:rsidRDefault="0049187F" w:rsidP="0049187F">
            <w:pPr>
              <w:jc w:val="center"/>
              <w:rPr>
                <w:sz w:val="20"/>
              </w:rPr>
            </w:pPr>
            <w:r w:rsidRPr="00A86499">
              <w:rPr>
                <w:sz w:val="20"/>
              </w:rPr>
              <w:t>0.2%</w:t>
            </w:r>
          </w:p>
        </w:tc>
      </w:tr>
    </w:tbl>
    <w:p w14:paraId="524D06D2" w14:textId="77777777" w:rsidR="00A86499" w:rsidRDefault="00A86499" w:rsidP="00A86499">
      <w:pPr>
        <w:rPr>
          <w:b/>
          <w:sz w:val="20"/>
        </w:rPr>
      </w:pPr>
    </w:p>
    <w:p w14:paraId="53D65A69" w14:textId="77777777" w:rsidR="00A86499" w:rsidRDefault="00A86499" w:rsidP="00A86499">
      <w:pPr>
        <w:rPr>
          <w:b/>
          <w:sz w:val="20"/>
        </w:rPr>
      </w:pPr>
    </w:p>
    <w:p w14:paraId="1C374DAE" w14:textId="361CA764" w:rsidR="0049187F" w:rsidRPr="00A86499" w:rsidRDefault="00A86499" w:rsidP="00A86499">
      <w:pPr>
        <w:jc w:val="center"/>
        <w:rPr>
          <w:sz w:val="20"/>
        </w:rPr>
      </w:pPr>
      <w:r>
        <w:rPr>
          <w:b/>
          <w:sz w:val="20"/>
        </w:rPr>
        <w:t>T</w:t>
      </w:r>
      <w:r w:rsidR="0049187F" w:rsidRPr="00A86499">
        <w:rPr>
          <w:b/>
          <w:sz w:val="20"/>
        </w:rPr>
        <w:t>able 2:</w:t>
      </w:r>
      <w:r w:rsidR="0049187F" w:rsidRPr="00A86499">
        <w:rPr>
          <w:sz w:val="20"/>
        </w:rPr>
        <w:t xml:space="preserve"> Prevalence by age group (18-80), bet</w:t>
      </w:r>
      <w:r w:rsidR="00372790" w:rsidRPr="00A86499">
        <w:rPr>
          <w:sz w:val="20"/>
        </w:rPr>
        <w:t xml:space="preserve">ter ear over 0.5, 1, 2 and </w:t>
      </w:r>
      <w:proofErr w:type="gramStart"/>
      <w:r w:rsidR="00372790" w:rsidRPr="00A86499">
        <w:rPr>
          <w:sz w:val="20"/>
        </w:rPr>
        <w:t>4kHZ</w:t>
      </w:r>
      <w:proofErr w:type="gramEnd"/>
      <w:r w:rsidR="00372790" w:rsidRPr="00A86499">
        <w:rPr>
          <w:rStyle w:val="FootnoteReference"/>
          <w:sz w:val="20"/>
        </w:rPr>
        <w:footnoteReference w:id="15"/>
      </w:r>
    </w:p>
    <w:p w14:paraId="7A54CF4B" w14:textId="77777777" w:rsidR="00BA00AC" w:rsidRDefault="00BA00AC" w:rsidP="00E712C5"/>
    <w:p w14:paraId="510C1C98" w14:textId="2184D474" w:rsidR="00E712C5" w:rsidRDefault="00E712C5" w:rsidP="00E712C5">
      <w:r>
        <w:t xml:space="preserve">Note: </w:t>
      </w:r>
    </w:p>
    <w:p w14:paraId="7BFB0BB5" w14:textId="7C934806" w:rsidR="00BA00AC" w:rsidRDefault="00E712C5" w:rsidP="00FA0CB1">
      <w:r>
        <w:t>Please note, we the NCHA only learnt about this consultation process – which was limited to existing stakeholders – a few days before the deadline. We have therefore not been able to present all the peer-reviewed publications we would normally include in such a response.</w:t>
      </w:r>
      <w:r w:rsidR="00A912C5">
        <w:t xml:space="preserve"> We would </w:t>
      </w:r>
      <w:r w:rsidR="006653BD">
        <w:t>like</w:t>
      </w:r>
      <w:r w:rsidR="00A912C5">
        <w:t xml:space="preserve"> to be involved in any future work on TA166.</w:t>
      </w:r>
      <w:r>
        <w:t xml:space="preserve"> </w:t>
      </w:r>
    </w:p>
    <w:p w14:paraId="502289AE" w14:textId="6B03196F" w:rsidR="00655F55" w:rsidRPr="002756CB" w:rsidRDefault="00655F55" w:rsidP="00FA0CB1"/>
    <w:sectPr w:rsidR="00655F55" w:rsidRPr="002756CB" w:rsidSect="00144221">
      <w:footerReference w:type="default" r:id="rId9"/>
      <w:pgSz w:w="11906" w:h="16838"/>
      <w:pgMar w:top="1276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3169C9" w14:textId="77777777" w:rsidR="00212A73" w:rsidRDefault="00212A73" w:rsidP="001029A6">
      <w:pPr>
        <w:spacing w:after="0" w:line="240" w:lineRule="auto"/>
      </w:pPr>
      <w:r>
        <w:separator/>
      </w:r>
    </w:p>
  </w:endnote>
  <w:endnote w:type="continuationSeparator" w:id="0">
    <w:p w14:paraId="46BF8B8E" w14:textId="77777777" w:rsidR="00212A73" w:rsidRDefault="00212A73" w:rsidP="00102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03014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6A3C65" w14:textId="3E91F2D1" w:rsidR="00E42B20" w:rsidRDefault="00E42B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5D9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6A0B309" w14:textId="77777777" w:rsidR="00E42B20" w:rsidRDefault="00E42B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2217F1" w14:textId="77777777" w:rsidR="00212A73" w:rsidRDefault="00212A73">
      <w:pPr>
        <w:spacing w:after="0" w:line="240" w:lineRule="auto"/>
      </w:pPr>
      <w:r>
        <w:separator/>
      </w:r>
    </w:p>
  </w:footnote>
  <w:footnote w:type="continuationSeparator" w:id="0">
    <w:p w14:paraId="276E3694" w14:textId="77777777" w:rsidR="00212A73" w:rsidRDefault="00212A73">
      <w:pPr>
        <w:spacing w:after="0" w:line="240" w:lineRule="auto"/>
      </w:pPr>
      <w:r>
        <w:continuationSeparator/>
      </w:r>
    </w:p>
  </w:footnote>
  <w:footnote w:id="1">
    <w:p w14:paraId="7E79572E" w14:textId="77777777" w:rsidR="008F44BF" w:rsidRPr="00372790" w:rsidRDefault="008F44BF" w:rsidP="00C20B86">
      <w:pPr>
        <w:pStyle w:val="FootnoteText"/>
        <w:contextualSpacing/>
        <w:rPr>
          <w:sz w:val="16"/>
          <w:szCs w:val="16"/>
          <w:lang w:val="en-US"/>
        </w:rPr>
      </w:pPr>
      <w:r w:rsidRPr="00372790">
        <w:rPr>
          <w:rStyle w:val="FootnoteReference"/>
          <w:sz w:val="16"/>
          <w:szCs w:val="16"/>
        </w:rPr>
        <w:footnoteRef/>
      </w:r>
      <w:r w:rsidRPr="00372790">
        <w:rPr>
          <w:sz w:val="16"/>
          <w:szCs w:val="16"/>
        </w:rPr>
        <w:t xml:space="preserve"> </w:t>
      </w:r>
      <w:r w:rsidRPr="00372790">
        <w:rPr>
          <w:sz w:val="16"/>
          <w:szCs w:val="16"/>
          <w:lang w:val="en-US"/>
        </w:rPr>
        <w:t xml:space="preserve">NICE, 2017, Guidance Executive, Technology Appraisal Review Proposal paper, TA166, page 1. </w:t>
      </w:r>
    </w:p>
  </w:footnote>
  <w:footnote w:id="2">
    <w:p w14:paraId="7B0CEBCA" w14:textId="1EA9EA62" w:rsidR="008473ED" w:rsidRPr="00372790" w:rsidRDefault="008473ED" w:rsidP="00EE50F8">
      <w:pPr>
        <w:tabs>
          <w:tab w:val="left" w:pos="8145"/>
        </w:tabs>
        <w:spacing w:after="0" w:line="240" w:lineRule="auto"/>
        <w:contextualSpacing/>
        <w:rPr>
          <w:sz w:val="16"/>
          <w:szCs w:val="16"/>
        </w:rPr>
      </w:pPr>
      <w:r w:rsidRPr="00372790">
        <w:rPr>
          <w:rStyle w:val="FootnoteReference"/>
          <w:sz w:val="16"/>
          <w:szCs w:val="16"/>
        </w:rPr>
        <w:footnoteRef/>
      </w:r>
      <w:r w:rsidRPr="00372790">
        <w:rPr>
          <w:sz w:val="16"/>
          <w:szCs w:val="16"/>
        </w:rPr>
        <w:t xml:space="preserve"> </w:t>
      </w:r>
      <w:r w:rsidR="002C002E" w:rsidRPr="00372790">
        <w:rPr>
          <w:sz w:val="16"/>
          <w:szCs w:val="16"/>
        </w:rPr>
        <w:t>Vickers et al. 2016,</w:t>
      </w:r>
      <w:r w:rsidRPr="00372790">
        <w:rPr>
          <w:sz w:val="16"/>
          <w:szCs w:val="16"/>
        </w:rPr>
        <w:t xml:space="preserve"> Issues in Cochlear Implant Candidacy. Cochlear Im</w:t>
      </w:r>
      <w:r w:rsidR="00FB622A" w:rsidRPr="00372790">
        <w:rPr>
          <w:sz w:val="16"/>
          <w:szCs w:val="16"/>
        </w:rPr>
        <w:t>plants International. 17</w:t>
      </w:r>
      <w:r w:rsidRPr="00372790">
        <w:rPr>
          <w:sz w:val="16"/>
          <w:szCs w:val="16"/>
        </w:rPr>
        <w:t xml:space="preserve"> </w:t>
      </w:r>
      <w:r w:rsidR="00EE50F8">
        <w:rPr>
          <w:sz w:val="16"/>
          <w:szCs w:val="16"/>
        </w:rPr>
        <w:tab/>
      </w:r>
    </w:p>
  </w:footnote>
  <w:footnote w:id="3">
    <w:p w14:paraId="72E0FB1A" w14:textId="0A318207" w:rsidR="002C002E" w:rsidRPr="00372790" w:rsidRDefault="002C002E" w:rsidP="00FB622A">
      <w:pPr>
        <w:spacing w:after="0" w:line="240" w:lineRule="auto"/>
        <w:contextualSpacing/>
        <w:rPr>
          <w:sz w:val="16"/>
          <w:szCs w:val="16"/>
        </w:rPr>
      </w:pPr>
      <w:r w:rsidRPr="00372790">
        <w:rPr>
          <w:rStyle w:val="FootnoteReference"/>
          <w:sz w:val="16"/>
          <w:szCs w:val="16"/>
        </w:rPr>
        <w:footnoteRef/>
      </w:r>
      <w:r w:rsidRPr="00372790">
        <w:rPr>
          <w:sz w:val="16"/>
          <w:szCs w:val="16"/>
        </w:rPr>
        <w:t xml:space="preserve"> </w:t>
      </w:r>
      <w:r w:rsidR="00564BBD" w:rsidRPr="00372790">
        <w:rPr>
          <w:sz w:val="16"/>
          <w:szCs w:val="16"/>
        </w:rPr>
        <w:t>Vickers e</w:t>
      </w:r>
      <w:r w:rsidR="00FB622A" w:rsidRPr="00372790">
        <w:rPr>
          <w:sz w:val="16"/>
          <w:szCs w:val="16"/>
        </w:rPr>
        <w:t xml:space="preserve">t al. </w:t>
      </w:r>
      <w:r w:rsidR="00564BBD" w:rsidRPr="00372790">
        <w:rPr>
          <w:sz w:val="16"/>
          <w:szCs w:val="16"/>
        </w:rPr>
        <w:t>2016</w:t>
      </w:r>
      <w:r w:rsidR="00FB622A" w:rsidRPr="00372790">
        <w:rPr>
          <w:sz w:val="16"/>
          <w:szCs w:val="16"/>
        </w:rPr>
        <w:t>,</w:t>
      </w:r>
      <w:r w:rsidR="00564BBD" w:rsidRPr="00372790">
        <w:rPr>
          <w:sz w:val="16"/>
          <w:szCs w:val="16"/>
        </w:rPr>
        <w:t xml:space="preserve"> Preliminary assessment of the feasibility of using AB words to assess candidacy.  Cochlear</w:t>
      </w:r>
      <w:r w:rsidR="00FB622A" w:rsidRPr="00372790">
        <w:rPr>
          <w:sz w:val="16"/>
          <w:szCs w:val="16"/>
        </w:rPr>
        <w:t xml:space="preserve"> Implants International Vol. 17</w:t>
      </w:r>
    </w:p>
  </w:footnote>
  <w:footnote w:id="4">
    <w:p w14:paraId="10BC1552" w14:textId="689337B9" w:rsidR="002767EE" w:rsidRPr="00372790" w:rsidRDefault="002767EE" w:rsidP="00B579FE">
      <w:pPr>
        <w:spacing w:after="0" w:line="240" w:lineRule="auto"/>
        <w:contextualSpacing/>
        <w:rPr>
          <w:sz w:val="16"/>
          <w:szCs w:val="16"/>
        </w:rPr>
      </w:pPr>
      <w:r w:rsidRPr="00372790">
        <w:rPr>
          <w:rStyle w:val="FootnoteReference"/>
          <w:sz w:val="16"/>
          <w:szCs w:val="16"/>
        </w:rPr>
        <w:footnoteRef/>
      </w:r>
      <w:r w:rsidRPr="00372790">
        <w:rPr>
          <w:sz w:val="16"/>
          <w:szCs w:val="16"/>
        </w:rPr>
        <w:t xml:space="preserve"> Vickers e</w:t>
      </w:r>
      <w:r w:rsidR="00FB622A" w:rsidRPr="00372790">
        <w:rPr>
          <w:sz w:val="16"/>
          <w:szCs w:val="16"/>
        </w:rPr>
        <w:t>t al. 2016,</w:t>
      </w:r>
      <w:r w:rsidRPr="00372790">
        <w:rPr>
          <w:sz w:val="16"/>
          <w:szCs w:val="16"/>
        </w:rPr>
        <w:t xml:space="preserve"> Preliminary assessment of the feasibility of using AB words to assess candidacy.  Cochlear Implants International Vol. 17 </w:t>
      </w:r>
    </w:p>
  </w:footnote>
  <w:footnote w:id="5">
    <w:p w14:paraId="109C94E9" w14:textId="77777777" w:rsidR="008F44BF" w:rsidRPr="00372790" w:rsidRDefault="008F44BF" w:rsidP="00FB622A">
      <w:pPr>
        <w:spacing w:after="0" w:line="240" w:lineRule="auto"/>
        <w:contextualSpacing/>
        <w:rPr>
          <w:sz w:val="16"/>
          <w:szCs w:val="16"/>
          <w:lang w:val="en-US"/>
        </w:rPr>
      </w:pPr>
      <w:r w:rsidRPr="00372790">
        <w:rPr>
          <w:rStyle w:val="FootnoteReference"/>
          <w:sz w:val="16"/>
          <w:szCs w:val="16"/>
        </w:rPr>
        <w:footnoteRef/>
      </w:r>
      <w:r w:rsidRPr="00372790">
        <w:rPr>
          <w:sz w:val="16"/>
          <w:szCs w:val="16"/>
        </w:rPr>
        <w:t xml:space="preserve"> </w:t>
      </w:r>
      <w:r w:rsidRPr="00372790">
        <w:rPr>
          <w:sz w:val="16"/>
          <w:szCs w:val="16"/>
          <w:lang w:val="en-US"/>
        </w:rPr>
        <w:t>NICE, Cochlear implants for children and adults with severe to profound deafness, Technology appraisal guidance Published: 28 January 2009, nice.org.uk/guidance/ta166 page 4</w:t>
      </w:r>
    </w:p>
  </w:footnote>
  <w:footnote w:id="6">
    <w:p w14:paraId="07D24FDA" w14:textId="3F0566EA" w:rsidR="008F44BF" w:rsidRPr="00372790" w:rsidRDefault="008F44BF" w:rsidP="00FB622A">
      <w:pPr>
        <w:pStyle w:val="FootnoteText"/>
        <w:contextualSpacing/>
        <w:rPr>
          <w:sz w:val="16"/>
          <w:szCs w:val="16"/>
          <w:lang w:val="en-US"/>
        </w:rPr>
      </w:pPr>
      <w:r w:rsidRPr="00372790">
        <w:rPr>
          <w:rStyle w:val="FootnoteReference"/>
          <w:sz w:val="16"/>
          <w:szCs w:val="16"/>
        </w:rPr>
        <w:footnoteRef/>
      </w:r>
      <w:r w:rsidRPr="00372790">
        <w:rPr>
          <w:sz w:val="16"/>
          <w:szCs w:val="16"/>
        </w:rPr>
        <w:t xml:space="preserve"> </w:t>
      </w:r>
      <w:r w:rsidRPr="00372790">
        <w:rPr>
          <w:sz w:val="16"/>
          <w:szCs w:val="16"/>
          <w:lang w:val="en-US"/>
        </w:rPr>
        <w:t xml:space="preserve">The BSA criteria </w:t>
      </w:r>
      <w:r w:rsidR="003064D5" w:rsidRPr="00372790">
        <w:rPr>
          <w:sz w:val="16"/>
          <w:szCs w:val="16"/>
          <w:lang w:val="en-US"/>
        </w:rPr>
        <w:t>might appear similar at first glance</w:t>
      </w:r>
      <w:r w:rsidRPr="00372790">
        <w:rPr>
          <w:sz w:val="16"/>
          <w:szCs w:val="16"/>
          <w:lang w:val="en-US"/>
        </w:rPr>
        <w:t xml:space="preserve">, however </w:t>
      </w:r>
      <w:r w:rsidR="003064D5" w:rsidRPr="00372790">
        <w:rPr>
          <w:sz w:val="16"/>
          <w:szCs w:val="16"/>
          <w:lang w:val="en-US"/>
        </w:rPr>
        <w:t>it is averaged over four frequencies not two</w:t>
      </w:r>
    </w:p>
  </w:footnote>
  <w:footnote w:id="7">
    <w:p w14:paraId="638EE14E" w14:textId="55C84B77" w:rsidR="002756CB" w:rsidRPr="00372790" w:rsidRDefault="002756CB">
      <w:pPr>
        <w:pStyle w:val="FootnoteText"/>
        <w:rPr>
          <w:sz w:val="16"/>
          <w:szCs w:val="16"/>
        </w:rPr>
      </w:pPr>
      <w:r w:rsidRPr="00372790">
        <w:rPr>
          <w:rStyle w:val="FootnoteReference"/>
          <w:sz w:val="16"/>
          <w:szCs w:val="16"/>
        </w:rPr>
        <w:footnoteRef/>
      </w:r>
      <w:r w:rsidRPr="00372790">
        <w:rPr>
          <w:sz w:val="16"/>
          <w:szCs w:val="16"/>
        </w:rPr>
        <w:t xml:space="preserve"> </w:t>
      </w:r>
      <w:r w:rsidRPr="00372790">
        <w:rPr>
          <w:rFonts w:ascii="Calibri" w:hAnsi="Calibri" w:cs="Arial"/>
          <w:sz w:val="16"/>
          <w:szCs w:val="16"/>
        </w:rPr>
        <w:t>Table 1, page 51 in NHS England, 2016, Commissioning Services for People with Hearing Loss: A Framework for Clinical Commissioning Groups)</w:t>
      </w:r>
      <w:r w:rsidR="00FB50FF" w:rsidRPr="00372790">
        <w:rPr>
          <w:rFonts w:ascii="Calibri" w:hAnsi="Calibri" w:cs="Arial"/>
          <w:sz w:val="16"/>
          <w:szCs w:val="16"/>
        </w:rPr>
        <w:t xml:space="preserve">. NHS England omits the hearing impairment categories of mild to profound hearing loss in order to focus on level of likely lived (perceived) impairment rather than arbitrary and non-evidence based, albeit historical, typologies/descriptors of mild, moderate, severe and profound. </w:t>
      </w:r>
    </w:p>
  </w:footnote>
  <w:footnote w:id="8">
    <w:p w14:paraId="11B9C987" w14:textId="7ACBE78F" w:rsidR="00EE50F8" w:rsidRPr="00EE50F8" w:rsidRDefault="00EE50F8">
      <w:pPr>
        <w:pStyle w:val="FootnoteText"/>
        <w:rPr>
          <w:sz w:val="16"/>
          <w:szCs w:val="16"/>
        </w:rPr>
      </w:pPr>
      <w:r w:rsidRPr="00EE50F8">
        <w:rPr>
          <w:rStyle w:val="FootnoteReference"/>
          <w:sz w:val="16"/>
          <w:szCs w:val="16"/>
        </w:rPr>
        <w:footnoteRef/>
      </w:r>
      <w:r w:rsidRPr="00EE50F8">
        <w:rPr>
          <w:sz w:val="16"/>
          <w:szCs w:val="16"/>
        </w:rPr>
        <w:t xml:space="preserve"> Table 1 in Global and regional hearing impairment prevalence: an analysis of 42 studies in 29 countries</w:t>
      </w:r>
      <w:r w:rsidRPr="00EE50F8">
        <w:rPr>
          <w:rFonts w:cs="Arial"/>
          <w:sz w:val="16"/>
          <w:szCs w:val="16"/>
        </w:rPr>
        <w:t xml:space="preserve"> </w:t>
      </w:r>
      <w:r w:rsidRPr="00EE50F8">
        <w:rPr>
          <w:sz w:val="16"/>
          <w:szCs w:val="16"/>
        </w:rPr>
        <w:t>European Journal of Public Health, Vol. 23, No. 1, 146–152</w:t>
      </w:r>
      <w:r w:rsidRPr="00EE50F8">
        <w:rPr>
          <w:rFonts w:cs="Arial"/>
          <w:sz w:val="16"/>
          <w:szCs w:val="16"/>
        </w:rPr>
        <w:t xml:space="preserve"> </w:t>
      </w:r>
      <w:hyperlink r:id="rId1" w:history="1">
        <w:r w:rsidRPr="00EE50F8">
          <w:rPr>
            <w:rStyle w:val="Hyperlink"/>
            <w:rFonts w:cs="Arial"/>
            <w:sz w:val="16"/>
            <w:szCs w:val="16"/>
          </w:rPr>
          <w:t>https://academic.oup.com/eurpub/article/23/1/146/460112</w:t>
        </w:r>
      </w:hyperlink>
      <w:r w:rsidRPr="00EE50F8">
        <w:rPr>
          <w:rFonts w:cs="Arial"/>
          <w:sz w:val="16"/>
          <w:szCs w:val="16"/>
        </w:rPr>
        <w:t xml:space="preserve">, </w:t>
      </w:r>
    </w:p>
  </w:footnote>
  <w:footnote w:id="9">
    <w:p w14:paraId="31BA63D9" w14:textId="77777777" w:rsidR="00933EB3" w:rsidRPr="00EE6DF0" w:rsidRDefault="00933EB3" w:rsidP="00933EB3">
      <w:pPr>
        <w:pStyle w:val="FootnoteText"/>
        <w:contextualSpacing/>
        <w:rPr>
          <w:sz w:val="16"/>
          <w:szCs w:val="16"/>
          <w:lang w:val="en-US"/>
        </w:rPr>
      </w:pPr>
      <w:r w:rsidRPr="00EE6DF0">
        <w:rPr>
          <w:rStyle w:val="FootnoteReference"/>
          <w:sz w:val="16"/>
          <w:szCs w:val="16"/>
        </w:rPr>
        <w:footnoteRef/>
      </w:r>
      <w:r w:rsidRPr="00EE6DF0">
        <w:rPr>
          <w:sz w:val="16"/>
          <w:szCs w:val="16"/>
        </w:rPr>
        <w:t xml:space="preserve"> </w:t>
      </w:r>
      <w:r w:rsidRPr="00EE6DF0">
        <w:rPr>
          <w:sz w:val="16"/>
          <w:szCs w:val="16"/>
          <w:lang w:val="en-US"/>
        </w:rPr>
        <w:t xml:space="preserve">World Health Organization, 2016, Grades of hearing impairment, </w:t>
      </w:r>
      <w:hyperlink r:id="rId2" w:history="1">
        <w:r w:rsidRPr="00EE6DF0">
          <w:rPr>
            <w:rStyle w:val="Hyperlink"/>
            <w:color w:val="auto"/>
            <w:sz w:val="16"/>
            <w:szCs w:val="16"/>
            <w:lang w:val="en-US"/>
          </w:rPr>
          <w:t>http://www.who.int/deafness/hearing_impairment_grades/en/</w:t>
        </w:r>
      </w:hyperlink>
      <w:r w:rsidRPr="00EE6DF0">
        <w:rPr>
          <w:sz w:val="16"/>
          <w:szCs w:val="16"/>
          <w:lang w:val="en-US"/>
        </w:rPr>
        <w:t xml:space="preserve"> accessed 22 January 2017</w:t>
      </w:r>
    </w:p>
  </w:footnote>
  <w:footnote w:id="10">
    <w:p w14:paraId="569558AB" w14:textId="77777777" w:rsidR="00933EB3" w:rsidRPr="00EE6DF0" w:rsidRDefault="00933EB3" w:rsidP="00933EB3">
      <w:pPr>
        <w:pStyle w:val="FootnoteText"/>
        <w:contextualSpacing/>
        <w:rPr>
          <w:sz w:val="16"/>
          <w:szCs w:val="16"/>
          <w:lang w:val="en-US"/>
        </w:rPr>
      </w:pPr>
      <w:r w:rsidRPr="00EE6DF0">
        <w:rPr>
          <w:rStyle w:val="FootnoteReference"/>
          <w:sz w:val="16"/>
          <w:szCs w:val="16"/>
        </w:rPr>
        <w:footnoteRef/>
      </w:r>
      <w:r w:rsidRPr="00EE6DF0">
        <w:rPr>
          <w:sz w:val="16"/>
          <w:szCs w:val="16"/>
        </w:rPr>
        <w:t xml:space="preserve"> </w:t>
      </w:r>
      <w:r w:rsidRPr="00EE6DF0">
        <w:rPr>
          <w:sz w:val="16"/>
          <w:szCs w:val="16"/>
          <w:lang w:val="en-US"/>
        </w:rPr>
        <w:t>British Society of Audiology</w:t>
      </w:r>
    </w:p>
  </w:footnote>
  <w:footnote w:id="11">
    <w:p w14:paraId="3A7773FC" w14:textId="77777777" w:rsidR="00933EB3" w:rsidRPr="00EE6DF0" w:rsidRDefault="00933EB3" w:rsidP="00933EB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Times"/>
          <w:sz w:val="16"/>
          <w:szCs w:val="16"/>
          <w:lang w:val="en-US"/>
        </w:rPr>
      </w:pPr>
      <w:r w:rsidRPr="00EE6DF0">
        <w:rPr>
          <w:rStyle w:val="FootnoteReference"/>
          <w:sz w:val="16"/>
          <w:szCs w:val="16"/>
        </w:rPr>
        <w:footnoteRef/>
      </w:r>
      <w:r w:rsidRPr="00EE6DF0">
        <w:rPr>
          <w:sz w:val="16"/>
          <w:szCs w:val="16"/>
        </w:rPr>
        <w:t xml:space="preserve"> </w:t>
      </w:r>
      <w:r w:rsidRPr="00EE6DF0">
        <w:rPr>
          <w:rFonts w:ascii="Calibri" w:hAnsi="Calibri" w:cs="Arial"/>
          <w:sz w:val="16"/>
          <w:szCs w:val="16"/>
        </w:rPr>
        <w:t xml:space="preserve">Global Burden of Disease Group (GBD) expert group, in Table 1, </w:t>
      </w:r>
      <w:r w:rsidRPr="00EE6DF0">
        <w:rPr>
          <w:rFonts w:ascii="Calibri" w:hAnsi="Calibri"/>
          <w:sz w:val="16"/>
          <w:szCs w:val="16"/>
        </w:rPr>
        <w:t>Stevens et al. 2011, Global and regional hearing impairment prevalence: an analysis of 42 studies in 29 countries</w:t>
      </w:r>
      <w:r w:rsidRPr="00EE6DF0">
        <w:rPr>
          <w:rFonts w:ascii="Calibri" w:hAnsi="Calibri" w:cs="Arial"/>
          <w:sz w:val="16"/>
          <w:szCs w:val="16"/>
        </w:rPr>
        <w:t xml:space="preserve"> </w:t>
      </w:r>
      <w:r w:rsidRPr="00EE6DF0">
        <w:rPr>
          <w:rFonts w:ascii="Calibri" w:hAnsi="Calibri"/>
          <w:sz w:val="16"/>
          <w:szCs w:val="16"/>
        </w:rPr>
        <w:t>European Journal of Public Health, Vol. 23, No. 1, 146–152</w:t>
      </w:r>
      <w:r w:rsidRPr="00EE6DF0">
        <w:rPr>
          <w:rFonts w:ascii="Calibri" w:hAnsi="Calibri" w:cs="Arial"/>
          <w:sz w:val="16"/>
          <w:szCs w:val="16"/>
        </w:rPr>
        <w:t xml:space="preserve"> </w:t>
      </w:r>
      <w:hyperlink r:id="rId3" w:history="1">
        <w:r w:rsidRPr="00EE6DF0">
          <w:rPr>
            <w:rStyle w:val="Hyperlink"/>
            <w:rFonts w:ascii="Calibri" w:hAnsi="Calibri" w:cs="Arial"/>
            <w:color w:val="auto"/>
            <w:sz w:val="16"/>
            <w:szCs w:val="16"/>
          </w:rPr>
          <w:t>https://academic.oup.com/eurpub/article/23/1/146/460112</w:t>
        </w:r>
      </w:hyperlink>
      <w:r w:rsidRPr="00EE6DF0">
        <w:rPr>
          <w:rFonts w:ascii="Calibri" w:hAnsi="Calibri" w:cs="Arial"/>
          <w:sz w:val="16"/>
          <w:szCs w:val="16"/>
        </w:rPr>
        <w:t>.</w:t>
      </w:r>
    </w:p>
  </w:footnote>
  <w:footnote w:id="12">
    <w:p w14:paraId="653EEC37" w14:textId="77777777" w:rsidR="00401B8D" w:rsidRPr="00EE6DF0" w:rsidRDefault="00401B8D" w:rsidP="00401B8D">
      <w:pPr>
        <w:pStyle w:val="FootnoteText"/>
        <w:rPr>
          <w:sz w:val="16"/>
          <w:szCs w:val="16"/>
        </w:rPr>
      </w:pPr>
      <w:r w:rsidRPr="00EE6DF0">
        <w:rPr>
          <w:rStyle w:val="FootnoteReference"/>
          <w:sz w:val="16"/>
          <w:szCs w:val="16"/>
        </w:rPr>
        <w:footnoteRef/>
      </w:r>
      <w:r w:rsidRPr="00EE6DF0">
        <w:rPr>
          <w:sz w:val="16"/>
          <w:szCs w:val="16"/>
        </w:rPr>
        <w:t xml:space="preserve"> </w:t>
      </w:r>
      <w:r w:rsidRPr="00EE6DF0">
        <w:rPr>
          <w:sz w:val="16"/>
          <w:szCs w:val="16"/>
          <w:lang w:val="en-US"/>
        </w:rPr>
        <w:t>NICE, Cochlear implants for children and adults with severe to profound deafness, Technology appraisal guidance Published: 28 January 2009, nice.org.uk/guidance/ta166 page 4 and 6</w:t>
      </w:r>
    </w:p>
  </w:footnote>
  <w:footnote w:id="13">
    <w:p w14:paraId="73AF00AE" w14:textId="7F6A96F0" w:rsidR="001B4516" w:rsidRPr="00EE6DF0" w:rsidRDefault="001B4516">
      <w:pPr>
        <w:pStyle w:val="FootnoteText"/>
        <w:rPr>
          <w:sz w:val="16"/>
          <w:szCs w:val="16"/>
        </w:rPr>
      </w:pPr>
      <w:r w:rsidRPr="00EE6DF0">
        <w:rPr>
          <w:rStyle w:val="FootnoteReference"/>
          <w:sz w:val="16"/>
          <w:szCs w:val="16"/>
        </w:rPr>
        <w:footnoteRef/>
      </w:r>
      <w:r w:rsidRPr="00EE6DF0">
        <w:rPr>
          <w:sz w:val="16"/>
          <w:szCs w:val="16"/>
        </w:rPr>
        <w:t xml:space="preserve"> Very conservative becaus</w:t>
      </w:r>
      <w:r w:rsidR="001A5F4D">
        <w:rPr>
          <w:sz w:val="16"/>
          <w:szCs w:val="16"/>
        </w:rPr>
        <w:t>e it assumes a prevalence of 0.3</w:t>
      </w:r>
      <w:r w:rsidRPr="00EE6DF0">
        <w:rPr>
          <w:sz w:val="16"/>
          <w:szCs w:val="16"/>
        </w:rPr>
        <w:t>% in children under 18, which overestimat</w:t>
      </w:r>
      <w:r w:rsidR="001A5F4D">
        <w:rPr>
          <w:sz w:val="16"/>
          <w:szCs w:val="16"/>
        </w:rPr>
        <w:t>e</w:t>
      </w:r>
      <w:r w:rsidR="00E05E83">
        <w:rPr>
          <w:sz w:val="16"/>
          <w:szCs w:val="16"/>
        </w:rPr>
        <w:t>s</w:t>
      </w:r>
      <w:r w:rsidR="001A5F4D">
        <w:rPr>
          <w:sz w:val="16"/>
          <w:szCs w:val="16"/>
        </w:rPr>
        <w:t xml:space="preserve"> the eligible population. </w:t>
      </w:r>
      <w:r w:rsidR="00E05E83">
        <w:rPr>
          <w:sz w:val="16"/>
          <w:szCs w:val="16"/>
        </w:rPr>
        <w:t>This overestimation in the 01-18 population is also likely to</w:t>
      </w:r>
      <w:r w:rsidRPr="00EE6DF0">
        <w:rPr>
          <w:sz w:val="16"/>
          <w:szCs w:val="16"/>
        </w:rPr>
        <w:t xml:space="preserve"> correct for the lack of data </w:t>
      </w:r>
      <w:r w:rsidR="00E05E83">
        <w:rPr>
          <w:sz w:val="16"/>
          <w:szCs w:val="16"/>
        </w:rPr>
        <w:t xml:space="preserve">on the population aged 80 and older </w:t>
      </w:r>
    </w:p>
  </w:footnote>
  <w:footnote w:id="14">
    <w:p w14:paraId="177B275D" w14:textId="77777777" w:rsidR="001D7DBC" w:rsidRPr="001B4516" w:rsidRDefault="001D7DBC" w:rsidP="001D7DBC">
      <w:pPr>
        <w:pStyle w:val="FootnoteText"/>
        <w:rPr>
          <w:sz w:val="16"/>
          <w:szCs w:val="16"/>
        </w:rPr>
      </w:pPr>
      <w:r w:rsidRPr="00EE6DF0">
        <w:rPr>
          <w:rStyle w:val="FootnoteReference"/>
          <w:sz w:val="16"/>
          <w:szCs w:val="16"/>
        </w:rPr>
        <w:footnoteRef/>
      </w:r>
      <w:r w:rsidRPr="00EE6DF0">
        <w:rPr>
          <w:sz w:val="16"/>
          <w:szCs w:val="16"/>
        </w:rPr>
        <w:t xml:space="preserve"> Based on 54,316,618 people living in England in 2</w:t>
      </w:r>
      <w:r>
        <w:rPr>
          <w:sz w:val="16"/>
          <w:szCs w:val="16"/>
        </w:rPr>
        <w:t>015. Applying an estimate of 0.3</w:t>
      </w:r>
      <w:r w:rsidRPr="00EE6DF0">
        <w:rPr>
          <w:sz w:val="16"/>
          <w:szCs w:val="16"/>
        </w:rPr>
        <w:t>%</w:t>
      </w:r>
      <w:r>
        <w:rPr>
          <w:sz w:val="16"/>
          <w:szCs w:val="16"/>
        </w:rPr>
        <w:t xml:space="preserve"> gives 163,000 people, applying 0.2% 109,000 people -</w:t>
      </w:r>
      <w:r w:rsidRPr="00EE6DF0">
        <w:rPr>
          <w:sz w:val="16"/>
          <w:szCs w:val="16"/>
        </w:rPr>
        <w:t xml:space="preserve"> i.e. the marginal change is a maximum of 5</w:t>
      </w:r>
      <w:r>
        <w:rPr>
          <w:sz w:val="16"/>
          <w:szCs w:val="16"/>
        </w:rPr>
        <w:t>4</w:t>
      </w:r>
      <w:r w:rsidRPr="00EE6DF0">
        <w:rPr>
          <w:sz w:val="16"/>
          <w:szCs w:val="16"/>
        </w:rPr>
        <w:t>,000 people</w:t>
      </w:r>
      <w:r>
        <w:rPr>
          <w:sz w:val="16"/>
          <w:szCs w:val="16"/>
        </w:rPr>
        <w:t xml:space="preserve"> and any of these are unlikely to be eligible based on other criteria</w:t>
      </w:r>
      <w:r w:rsidRPr="00EE6DF0">
        <w:rPr>
          <w:sz w:val="16"/>
          <w:szCs w:val="16"/>
        </w:rPr>
        <w:t xml:space="preserve">. Population data source, ONS, Table SAPE17DT5: Mid-2014 Population Estimates for Clinical Commissioning Groups in England, by Single Year of Age and </w:t>
      </w:r>
      <w:r w:rsidRPr="001B4516">
        <w:rPr>
          <w:sz w:val="16"/>
          <w:szCs w:val="16"/>
        </w:rPr>
        <w:t xml:space="preserve">Sex </w:t>
      </w:r>
    </w:p>
  </w:footnote>
  <w:footnote w:id="15">
    <w:p w14:paraId="25642B3E" w14:textId="48BD8F8D" w:rsidR="00372790" w:rsidRPr="001B4516" w:rsidRDefault="00372790">
      <w:pPr>
        <w:pStyle w:val="FootnoteText"/>
        <w:rPr>
          <w:sz w:val="16"/>
          <w:szCs w:val="16"/>
        </w:rPr>
      </w:pPr>
      <w:r w:rsidRPr="001B4516">
        <w:rPr>
          <w:rStyle w:val="FootnoteReference"/>
          <w:sz w:val="16"/>
          <w:szCs w:val="16"/>
        </w:rPr>
        <w:footnoteRef/>
      </w:r>
      <w:r w:rsidRPr="001B4516">
        <w:rPr>
          <w:sz w:val="16"/>
          <w:szCs w:val="16"/>
        </w:rPr>
        <w:t xml:space="preserve"> Table B5124-1, page 46. Davis, Hearing in Adults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7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C02D0D"/>
    <w:multiLevelType w:val="hybridMultilevel"/>
    <w:tmpl w:val="542699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D90076AC">
      <w:start w:val="1"/>
      <w:numFmt w:val="lowerLetter"/>
      <w:lvlText w:val="%2-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07724D"/>
    <w:multiLevelType w:val="hybridMultilevel"/>
    <w:tmpl w:val="720CA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77585"/>
    <w:multiLevelType w:val="hybridMultilevel"/>
    <w:tmpl w:val="E65AAB90"/>
    <w:lvl w:ilvl="0" w:tplc="AD9811F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25612"/>
    <w:multiLevelType w:val="hybridMultilevel"/>
    <w:tmpl w:val="8EDE407A"/>
    <w:lvl w:ilvl="0" w:tplc="A802D18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45194"/>
    <w:multiLevelType w:val="hybridMultilevel"/>
    <w:tmpl w:val="8D5C8AD6"/>
    <w:lvl w:ilvl="0" w:tplc="B77462D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9B127D"/>
    <w:multiLevelType w:val="hybridMultilevel"/>
    <w:tmpl w:val="70A02A1C"/>
    <w:lvl w:ilvl="0" w:tplc="B088037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9C"/>
    <w:rsid w:val="000108FA"/>
    <w:rsid w:val="00036B2C"/>
    <w:rsid w:val="0004202C"/>
    <w:rsid w:val="00051696"/>
    <w:rsid w:val="00053DF6"/>
    <w:rsid w:val="00054E1D"/>
    <w:rsid w:val="00055580"/>
    <w:rsid w:val="00064ABE"/>
    <w:rsid w:val="000706B6"/>
    <w:rsid w:val="00072BE7"/>
    <w:rsid w:val="00072E36"/>
    <w:rsid w:val="00076F96"/>
    <w:rsid w:val="00080881"/>
    <w:rsid w:val="00081B81"/>
    <w:rsid w:val="0008429C"/>
    <w:rsid w:val="00092781"/>
    <w:rsid w:val="000C4BDE"/>
    <w:rsid w:val="000D12C8"/>
    <w:rsid w:val="000D52C5"/>
    <w:rsid w:val="000E115A"/>
    <w:rsid w:val="000E4302"/>
    <w:rsid w:val="000E54A0"/>
    <w:rsid w:val="000F05FE"/>
    <w:rsid w:val="000F27FE"/>
    <w:rsid w:val="001029A6"/>
    <w:rsid w:val="00113A04"/>
    <w:rsid w:val="0012052B"/>
    <w:rsid w:val="001317AF"/>
    <w:rsid w:val="00133F65"/>
    <w:rsid w:val="0013737A"/>
    <w:rsid w:val="001427AC"/>
    <w:rsid w:val="00144221"/>
    <w:rsid w:val="00154DB6"/>
    <w:rsid w:val="0016254A"/>
    <w:rsid w:val="00191581"/>
    <w:rsid w:val="00192908"/>
    <w:rsid w:val="001A1E1B"/>
    <w:rsid w:val="001A5F4D"/>
    <w:rsid w:val="001B4516"/>
    <w:rsid w:val="001C3980"/>
    <w:rsid w:val="001D706A"/>
    <w:rsid w:val="001D7DBC"/>
    <w:rsid w:val="001E616D"/>
    <w:rsid w:val="001E706E"/>
    <w:rsid w:val="00210162"/>
    <w:rsid w:val="002109E1"/>
    <w:rsid w:val="00211FF9"/>
    <w:rsid w:val="00212A73"/>
    <w:rsid w:val="00217927"/>
    <w:rsid w:val="00226015"/>
    <w:rsid w:val="0023187A"/>
    <w:rsid w:val="00231AB6"/>
    <w:rsid w:val="002367BA"/>
    <w:rsid w:val="00236AC0"/>
    <w:rsid w:val="00241AF4"/>
    <w:rsid w:val="0024611F"/>
    <w:rsid w:val="00262897"/>
    <w:rsid w:val="00270D5E"/>
    <w:rsid w:val="002756CB"/>
    <w:rsid w:val="002767EE"/>
    <w:rsid w:val="002775B0"/>
    <w:rsid w:val="00277DB7"/>
    <w:rsid w:val="002841D0"/>
    <w:rsid w:val="00284392"/>
    <w:rsid w:val="00287414"/>
    <w:rsid w:val="00292741"/>
    <w:rsid w:val="00292B73"/>
    <w:rsid w:val="00293CB6"/>
    <w:rsid w:val="0029454E"/>
    <w:rsid w:val="002A5969"/>
    <w:rsid w:val="002C002E"/>
    <w:rsid w:val="002C3E43"/>
    <w:rsid w:val="002C61AE"/>
    <w:rsid w:val="002E73BC"/>
    <w:rsid w:val="002F130F"/>
    <w:rsid w:val="002F2AC4"/>
    <w:rsid w:val="002F32F0"/>
    <w:rsid w:val="00300D51"/>
    <w:rsid w:val="003064D5"/>
    <w:rsid w:val="003139AD"/>
    <w:rsid w:val="0032336F"/>
    <w:rsid w:val="0033442D"/>
    <w:rsid w:val="00335AE3"/>
    <w:rsid w:val="00341271"/>
    <w:rsid w:val="00353657"/>
    <w:rsid w:val="00355A10"/>
    <w:rsid w:val="00357F47"/>
    <w:rsid w:val="003619AC"/>
    <w:rsid w:val="00364952"/>
    <w:rsid w:val="00372790"/>
    <w:rsid w:val="00377B60"/>
    <w:rsid w:val="00396C8B"/>
    <w:rsid w:val="003A5113"/>
    <w:rsid w:val="003A7DAD"/>
    <w:rsid w:val="003B052C"/>
    <w:rsid w:val="003B4B51"/>
    <w:rsid w:val="003C0587"/>
    <w:rsid w:val="003C28D9"/>
    <w:rsid w:val="003E34EC"/>
    <w:rsid w:val="003F77DB"/>
    <w:rsid w:val="00401B8D"/>
    <w:rsid w:val="00410502"/>
    <w:rsid w:val="00415B83"/>
    <w:rsid w:val="00421B93"/>
    <w:rsid w:val="00422AAA"/>
    <w:rsid w:val="0043257F"/>
    <w:rsid w:val="004325B3"/>
    <w:rsid w:val="00435B47"/>
    <w:rsid w:val="00437644"/>
    <w:rsid w:val="00457BA4"/>
    <w:rsid w:val="004825E5"/>
    <w:rsid w:val="00485B9A"/>
    <w:rsid w:val="0048657B"/>
    <w:rsid w:val="0049187F"/>
    <w:rsid w:val="004976DE"/>
    <w:rsid w:val="004A688B"/>
    <w:rsid w:val="004B3990"/>
    <w:rsid w:val="004C5040"/>
    <w:rsid w:val="004D342A"/>
    <w:rsid w:val="004D7C04"/>
    <w:rsid w:val="004E1938"/>
    <w:rsid w:val="004E3CED"/>
    <w:rsid w:val="004F1D78"/>
    <w:rsid w:val="004F4114"/>
    <w:rsid w:val="00501454"/>
    <w:rsid w:val="005015DB"/>
    <w:rsid w:val="005021B8"/>
    <w:rsid w:val="005051DB"/>
    <w:rsid w:val="00506240"/>
    <w:rsid w:val="00514383"/>
    <w:rsid w:val="00540AEA"/>
    <w:rsid w:val="005438A5"/>
    <w:rsid w:val="00552576"/>
    <w:rsid w:val="00554B0E"/>
    <w:rsid w:val="00557CE9"/>
    <w:rsid w:val="00564BBD"/>
    <w:rsid w:val="00571494"/>
    <w:rsid w:val="00572B41"/>
    <w:rsid w:val="00584005"/>
    <w:rsid w:val="00590C21"/>
    <w:rsid w:val="00594BA2"/>
    <w:rsid w:val="005A0515"/>
    <w:rsid w:val="005B207A"/>
    <w:rsid w:val="005B6396"/>
    <w:rsid w:val="005D1F2F"/>
    <w:rsid w:val="005E51F3"/>
    <w:rsid w:val="006209F8"/>
    <w:rsid w:val="006216EE"/>
    <w:rsid w:val="006340E1"/>
    <w:rsid w:val="00655F55"/>
    <w:rsid w:val="006567ED"/>
    <w:rsid w:val="00661E28"/>
    <w:rsid w:val="006653BD"/>
    <w:rsid w:val="0067218C"/>
    <w:rsid w:val="00690D34"/>
    <w:rsid w:val="006A675A"/>
    <w:rsid w:val="006A7A29"/>
    <w:rsid w:val="006B6B47"/>
    <w:rsid w:val="006C37A1"/>
    <w:rsid w:val="006D2B71"/>
    <w:rsid w:val="006D503C"/>
    <w:rsid w:val="006D630B"/>
    <w:rsid w:val="006E7A81"/>
    <w:rsid w:val="006E7B96"/>
    <w:rsid w:val="00705935"/>
    <w:rsid w:val="0071632F"/>
    <w:rsid w:val="007214DD"/>
    <w:rsid w:val="00741411"/>
    <w:rsid w:val="007422C6"/>
    <w:rsid w:val="00743E1C"/>
    <w:rsid w:val="0075018D"/>
    <w:rsid w:val="007537D2"/>
    <w:rsid w:val="007568C1"/>
    <w:rsid w:val="00762C58"/>
    <w:rsid w:val="00765E95"/>
    <w:rsid w:val="00772BB1"/>
    <w:rsid w:val="007C654D"/>
    <w:rsid w:val="007D4E0A"/>
    <w:rsid w:val="007E0498"/>
    <w:rsid w:val="00805FFD"/>
    <w:rsid w:val="0081045C"/>
    <w:rsid w:val="00813267"/>
    <w:rsid w:val="008166EA"/>
    <w:rsid w:val="008473ED"/>
    <w:rsid w:val="00852A64"/>
    <w:rsid w:val="00876008"/>
    <w:rsid w:val="0087626D"/>
    <w:rsid w:val="00882CEC"/>
    <w:rsid w:val="00892B47"/>
    <w:rsid w:val="008A13D0"/>
    <w:rsid w:val="008A6351"/>
    <w:rsid w:val="008A7206"/>
    <w:rsid w:val="008A75A6"/>
    <w:rsid w:val="008B6CC9"/>
    <w:rsid w:val="008C5F50"/>
    <w:rsid w:val="008D1AC8"/>
    <w:rsid w:val="008D3041"/>
    <w:rsid w:val="008D45C9"/>
    <w:rsid w:val="008D54D6"/>
    <w:rsid w:val="008E0512"/>
    <w:rsid w:val="008F2090"/>
    <w:rsid w:val="008F44BF"/>
    <w:rsid w:val="00914862"/>
    <w:rsid w:val="00916342"/>
    <w:rsid w:val="00927B25"/>
    <w:rsid w:val="00933EB3"/>
    <w:rsid w:val="00946942"/>
    <w:rsid w:val="009478BC"/>
    <w:rsid w:val="00956926"/>
    <w:rsid w:val="009644D6"/>
    <w:rsid w:val="00964626"/>
    <w:rsid w:val="0098175B"/>
    <w:rsid w:val="009B469D"/>
    <w:rsid w:val="009C0130"/>
    <w:rsid w:val="009C4CFE"/>
    <w:rsid w:val="009E517E"/>
    <w:rsid w:val="009E6C36"/>
    <w:rsid w:val="00A06264"/>
    <w:rsid w:val="00A20D95"/>
    <w:rsid w:val="00A327E7"/>
    <w:rsid w:val="00A32939"/>
    <w:rsid w:val="00A34F44"/>
    <w:rsid w:val="00A54738"/>
    <w:rsid w:val="00A72761"/>
    <w:rsid w:val="00A85014"/>
    <w:rsid w:val="00A85710"/>
    <w:rsid w:val="00A86499"/>
    <w:rsid w:val="00A877C0"/>
    <w:rsid w:val="00A90CC4"/>
    <w:rsid w:val="00A912C5"/>
    <w:rsid w:val="00A94FA1"/>
    <w:rsid w:val="00A977ED"/>
    <w:rsid w:val="00A97C62"/>
    <w:rsid w:val="00AC399A"/>
    <w:rsid w:val="00AC7D4F"/>
    <w:rsid w:val="00AD3F1A"/>
    <w:rsid w:val="00AE4C28"/>
    <w:rsid w:val="00AE6D67"/>
    <w:rsid w:val="00AF2833"/>
    <w:rsid w:val="00AF3957"/>
    <w:rsid w:val="00AF626F"/>
    <w:rsid w:val="00AF775A"/>
    <w:rsid w:val="00B031F9"/>
    <w:rsid w:val="00B105E0"/>
    <w:rsid w:val="00B21E74"/>
    <w:rsid w:val="00B2681C"/>
    <w:rsid w:val="00B45113"/>
    <w:rsid w:val="00B46C25"/>
    <w:rsid w:val="00B579FE"/>
    <w:rsid w:val="00B67576"/>
    <w:rsid w:val="00B73950"/>
    <w:rsid w:val="00B76774"/>
    <w:rsid w:val="00B76A3D"/>
    <w:rsid w:val="00B829B0"/>
    <w:rsid w:val="00B83CC4"/>
    <w:rsid w:val="00B91042"/>
    <w:rsid w:val="00B9147F"/>
    <w:rsid w:val="00BA00AC"/>
    <w:rsid w:val="00BA054F"/>
    <w:rsid w:val="00BA4A20"/>
    <w:rsid w:val="00BB2808"/>
    <w:rsid w:val="00BC2B3D"/>
    <w:rsid w:val="00BE1641"/>
    <w:rsid w:val="00BE6599"/>
    <w:rsid w:val="00BF7E27"/>
    <w:rsid w:val="00C069A9"/>
    <w:rsid w:val="00C20B86"/>
    <w:rsid w:val="00C249CD"/>
    <w:rsid w:val="00C26EBC"/>
    <w:rsid w:val="00C31BE8"/>
    <w:rsid w:val="00C37A07"/>
    <w:rsid w:val="00C51113"/>
    <w:rsid w:val="00C526D3"/>
    <w:rsid w:val="00C66552"/>
    <w:rsid w:val="00C936AC"/>
    <w:rsid w:val="00C940C4"/>
    <w:rsid w:val="00CD09B1"/>
    <w:rsid w:val="00D04CDF"/>
    <w:rsid w:val="00D263DF"/>
    <w:rsid w:val="00D30336"/>
    <w:rsid w:val="00D35124"/>
    <w:rsid w:val="00D45973"/>
    <w:rsid w:val="00D550DC"/>
    <w:rsid w:val="00D61C60"/>
    <w:rsid w:val="00D6488E"/>
    <w:rsid w:val="00D805B1"/>
    <w:rsid w:val="00DA41B6"/>
    <w:rsid w:val="00DA5D95"/>
    <w:rsid w:val="00DA6D8E"/>
    <w:rsid w:val="00DB0A72"/>
    <w:rsid w:val="00DC0133"/>
    <w:rsid w:val="00DE12BA"/>
    <w:rsid w:val="00DE2D95"/>
    <w:rsid w:val="00DF0DF7"/>
    <w:rsid w:val="00E05E83"/>
    <w:rsid w:val="00E11E78"/>
    <w:rsid w:val="00E16D33"/>
    <w:rsid w:val="00E20EFA"/>
    <w:rsid w:val="00E42B20"/>
    <w:rsid w:val="00E470AE"/>
    <w:rsid w:val="00E47825"/>
    <w:rsid w:val="00E712C5"/>
    <w:rsid w:val="00E87F35"/>
    <w:rsid w:val="00EA12F7"/>
    <w:rsid w:val="00EC40E0"/>
    <w:rsid w:val="00EC6642"/>
    <w:rsid w:val="00ED615E"/>
    <w:rsid w:val="00EE50F8"/>
    <w:rsid w:val="00EE6DF0"/>
    <w:rsid w:val="00EF1633"/>
    <w:rsid w:val="00EF3301"/>
    <w:rsid w:val="00EF3B69"/>
    <w:rsid w:val="00EF3DB7"/>
    <w:rsid w:val="00EF4281"/>
    <w:rsid w:val="00EF778E"/>
    <w:rsid w:val="00F03FCE"/>
    <w:rsid w:val="00F047B2"/>
    <w:rsid w:val="00F0668D"/>
    <w:rsid w:val="00F12BCC"/>
    <w:rsid w:val="00F1692B"/>
    <w:rsid w:val="00F17CC0"/>
    <w:rsid w:val="00F21C62"/>
    <w:rsid w:val="00F22AE5"/>
    <w:rsid w:val="00F2428D"/>
    <w:rsid w:val="00F35ECB"/>
    <w:rsid w:val="00F367E0"/>
    <w:rsid w:val="00F53DCD"/>
    <w:rsid w:val="00F76391"/>
    <w:rsid w:val="00F81634"/>
    <w:rsid w:val="00F8618B"/>
    <w:rsid w:val="00F92A0B"/>
    <w:rsid w:val="00FA0CB1"/>
    <w:rsid w:val="00FB50FF"/>
    <w:rsid w:val="00FB6158"/>
    <w:rsid w:val="00FB622A"/>
    <w:rsid w:val="00FB6FF9"/>
    <w:rsid w:val="00FB7029"/>
    <w:rsid w:val="00FC3183"/>
    <w:rsid w:val="00FD6250"/>
    <w:rsid w:val="00FD6684"/>
    <w:rsid w:val="00FD6DEA"/>
    <w:rsid w:val="00FE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D2522B"/>
  <w15:docId w15:val="{391ED0C7-BCAA-4095-80EA-94961CB71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76391"/>
    <w:pPr>
      <w:spacing w:before="100" w:beforeAutospacing="1" w:after="100" w:afterAutospacing="1" w:line="240" w:lineRule="auto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029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29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1029A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1486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76391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76391"/>
    <w:rPr>
      <w:rFonts w:ascii="Times" w:hAnsi="Times"/>
      <w:b/>
      <w:bCs/>
      <w:kern w:val="36"/>
      <w:sz w:val="48"/>
      <w:szCs w:val="48"/>
    </w:rPr>
  </w:style>
  <w:style w:type="character" w:customStyle="1" w:styleId="al-author-name">
    <w:name w:val="al-author-name"/>
    <w:basedOn w:val="DefaultParagraphFont"/>
    <w:rsid w:val="00F76391"/>
  </w:style>
  <w:style w:type="character" w:customStyle="1" w:styleId="al-author-by">
    <w:name w:val="al-author-by"/>
    <w:basedOn w:val="DefaultParagraphFont"/>
    <w:rsid w:val="00F76391"/>
  </w:style>
  <w:style w:type="character" w:styleId="Emphasis">
    <w:name w:val="Emphasis"/>
    <w:basedOn w:val="DefaultParagraphFont"/>
    <w:uiPriority w:val="20"/>
    <w:qFormat/>
    <w:rsid w:val="00F76391"/>
    <w:rPr>
      <w:i/>
      <w:iCs/>
    </w:rPr>
  </w:style>
  <w:style w:type="paragraph" w:styleId="ListParagraph">
    <w:name w:val="List Paragraph"/>
    <w:basedOn w:val="Normal"/>
    <w:uiPriority w:val="34"/>
    <w:qFormat/>
    <w:rsid w:val="001317AF"/>
    <w:pPr>
      <w:ind w:left="720"/>
      <w:contextualSpacing/>
    </w:pPr>
  </w:style>
  <w:style w:type="paragraph" w:styleId="EndnoteText">
    <w:name w:val="endnote text"/>
    <w:basedOn w:val="Normal"/>
    <w:link w:val="EndnoteTextChar"/>
    <w:unhideWhenUsed/>
    <w:rsid w:val="00292741"/>
    <w:pPr>
      <w:spacing w:after="0" w:line="240" w:lineRule="auto"/>
    </w:pPr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rsid w:val="00292741"/>
    <w:rPr>
      <w:sz w:val="24"/>
      <w:szCs w:val="24"/>
    </w:rPr>
  </w:style>
  <w:style w:type="character" w:styleId="EndnoteReference">
    <w:name w:val="endnote reference"/>
    <w:basedOn w:val="DefaultParagraphFont"/>
    <w:unhideWhenUsed/>
    <w:rsid w:val="0029274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D3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D3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3B4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C28D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2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B20"/>
  </w:style>
  <w:style w:type="paragraph" w:styleId="Footer">
    <w:name w:val="footer"/>
    <w:basedOn w:val="Normal"/>
    <w:link w:val="FooterChar"/>
    <w:uiPriority w:val="99"/>
    <w:unhideWhenUsed/>
    <w:rsid w:val="00E42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5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2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4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4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3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academic.oup.com/eurpub/article/23/1/146/460112" TargetMode="External"/><Relationship Id="rId2" Type="http://schemas.openxmlformats.org/officeDocument/2006/relationships/hyperlink" Target="http://www.who.int/deafness/hearing_impairment_grades/en/" TargetMode="External"/><Relationship Id="rId1" Type="http://schemas.openxmlformats.org/officeDocument/2006/relationships/hyperlink" Target="https://academic.oup.com/eurpub/article/23/1/146/460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3CFD7-ED11-4158-8201-0FA7ABD91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Lines>52</Lines>
  <LinksUpToDate>false</LinksUpToDate>
  <Paragraphs>14</Paragraphs>
  <ScaleCrop>false</ScaleCrop>
  <CharactersWithSpaces>7447</CharactersWithSpaces>
  <SharedDoc>false</SharedDoc>
  <HyperlinksChanged>false</HyperlinksChanged>
  <AppVersion>15.0000</AppVersion>
  <Characters>6348</Characters>
  <Pages>4</Pages>
  <DocSecurity>0</DocSecurity>
  <Words>1113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</dc:creator>
  <dcterms:modified xsi:type="dcterms:W3CDTF">2018-01-23T14:46:00Z</dcterms:modified>
  <dc:title/>
  <cp:lastModifiedBy>Nafees RahmanNCHA</cp:lastModifiedBy>
  <dcterms:created xsi:type="dcterms:W3CDTF">2018-01-23T14:44:00Z</dcterms:created>
  <cp:revision>4</cp:revision>
</cp:coreProperties>
</file>