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4A9" w:rsidRDefault="00B519C9">
      <w:bookmarkStart w:id="0" w:name="_GoBack"/>
      <w:bookmarkEnd w:id="0"/>
      <w:r>
        <w:t xml:space="preserve">  </w:t>
      </w:r>
      <w:r w:rsidR="00B14272">
        <w:rPr>
          <w:noProof/>
          <w:lang w:eastAsia="en-GB"/>
        </w:rPr>
        <w:drawing>
          <wp:inline distT="0" distB="0" distL="0" distR="0" wp14:anchorId="37114326" wp14:editId="2C49D6F5">
            <wp:extent cx="1381125" cy="714375"/>
            <wp:effectExtent l="0" t="0" r="9525" b="9525"/>
            <wp:docPr id="1" name="Picture 2" descr="NCHA_logo_stacked_RGB"/>
            <wp:cNvGraphicFramePr/>
            <a:graphic xmlns:a="http://schemas.openxmlformats.org/drawingml/2006/main">
              <a:graphicData uri="http://schemas.openxmlformats.org/drawingml/2006/picture">
                <pic:pic xmlns:pic="http://schemas.openxmlformats.org/drawingml/2006/picture">
                  <pic:nvPicPr>
                    <pic:cNvPr id="1" name="Picture 2" descr="NCHA_logo_stacked_RGB"/>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1125" cy="714375"/>
                    </a:xfrm>
                    <a:prstGeom prst="rect">
                      <a:avLst/>
                    </a:prstGeom>
                    <a:noFill/>
                    <a:ln>
                      <a:noFill/>
                    </a:ln>
                  </pic:spPr>
                </pic:pic>
              </a:graphicData>
            </a:graphic>
          </wp:inline>
        </w:drawing>
      </w:r>
    </w:p>
    <w:p w:rsidR="006D1622" w:rsidRDefault="006D1622"/>
    <w:p w:rsidR="008074C7" w:rsidRDefault="008074C7" w:rsidP="008074C7">
      <w:pPr>
        <w:spacing w:after="0" w:line="240" w:lineRule="auto"/>
        <w:jc w:val="center"/>
        <w:rPr>
          <w:rFonts w:ascii="Segoe UI" w:hAnsi="Segoe UI" w:cs="Segoe UI"/>
          <w:b/>
          <w:sz w:val="28"/>
          <w:szCs w:val="28"/>
        </w:rPr>
      </w:pPr>
      <w:r w:rsidRPr="000D6251">
        <w:rPr>
          <w:rFonts w:ascii="Segoe UI" w:hAnsi="Segoe UI" w:cs="Segoe UI"/>
          <w:b/>
          <w:sz w:val="28"/>
          <w:szCs w:val="28"/>
        </w:rPr>
        <w:t xml:space="preserve">NHS Standard Contract 2016/2017 </w:t>
      </w:r>
      <w:r>
        <w:rPr>
          <w:rFonts w:ascii="Segoe UI" w:hAnsi="Segoe UI" w:cs="Segoe UI"/>
          <w:b/>
          <w:sz w:val="28"/>
          <w:szCs w:val="28"/>
        </w:rPr>
        <w:t xml:space="preserve"> </w:t>
      </w:r>
    </w:p>
    <w:p w:rsidR="008074C7" w:rsidRPr="008074C7" w:rsidRDefault="002F657A" w:rsidP="002F657A">
      <w:pPr>
        <w:spacing w:after="0" w:line="240" w:lineRule="auto"/>
        <w:jc w:val="center"/>
        <w:rPr>
          <w:rFonts w:ascii="Segoe UI" w:hAnsi="Segoe UI" w:cs="Segoe UI"/>
          <w:b/>
          <w:sz w:val="28"/>
          <w:szCs w:val="28"/>
        </w:rPr>
      </w:pPr>
      <w:r>
        <w:rPr>
          <w:rFonts w:ascii="Segoe UI" w:hAnsi="Segoe UI" w:cs="Segoe UI"/>
          <w:b/>
          <w:sz w:val="28"/>
          <w:szCs w:val="28"/>
        </w:rPr>
        <w:t xml:space="preserve">General Feedback – </w:t>
      </w:r>
      <w:r w:rsidR="008074C7">
        <w:rPr>
          <w:rFonts w:ascii="Segoe UI" w:hAnsi="Segoe UI" w:cs="Segoe UI"/>
          <w:b/>
          <w:sz w:val="28"/>
          <w:szCs w:val="28"/>
        </w:rPr>
        <w:t>as requested</w:t>
      </w:r>
      <w:r>
        <w:rPr>
          <w:rFonts w:ascii="Segoe UI" w:hAnsi="Segoe UI" w:cs="Segoe UI"/>
          <w:b/>
          <w:sz w:val="28"/>
          <w:szCs w:val="28"/>
        </w:rPr>
        <w:t xml:space="preserve"> at 8 March workshop </w:t>
      </w:r>
    </w:p>
    <w:p w:rsidR="00F37308" w:rsidRDefault="00F37308" w:rsidP="00F37308">
      <w:pPr>
        <w:spacing w:after="0" w:line="240" w:lineRule="auto"/>
      </w:pPr>
    </w:p>
    <w:p w:rsidR="00F37308" w:rsidRPr="00FE0A8E" w:rsidRDefault="00F37308" w:rsidP="00FE0A8E">
      <w:pPr>
        <w:spacing w:after="0" w:line="240" w:lineRule="auto"/>
        <w:rPr>
          <w:rFonts w:cstheme="minorHAnsi"/>
          <w:b/>
        </w:rPr>
      </w:pPr>
      <w:r w:rsidRPr="00F37308">
        <w:rPr>
          <w:rFonts w:cstheme="minorHAnsi"/>
        </w:rPr>
        <w:t xml:space="preserve">The National Community Hearing Association (NCHA) represents community hearing providers in the UK. </w:t>
      </w:r>
      <w:r w:rsidR="00FE0A8E">
        <w:rPr>
          <w:rFonts w:cstheme="minorHAnsi"/>
          <w:b/>
        </w:rPr>
        <w:t xml:space="preserve">  </w:t>
      </w:r>
      <w:r>
        <w:t xml:space="preserve">In the response below </w:t>
      </w:r>
    </w:p>
    <w:p w:rsidR="00F37308" w:rsidRPr="008074C7" w:rsidRDefault="00F37308" w:rsidP="00F37308">
      <w:pPr>
        <w:pStyle w:val="ListParagraph"/>
        <w:numPr>
          <w:ilvl w:val="0"/>
          <w:numId w:val="2"/>
        </w:numPr>
        <w:rPr>
          <w:b/>
        </w:rPr>
      </w:pPr>
      <w:r w:rsidRPr="008074C7">
        <w:rPr>
          <w:b/>
        </w:rPr>
        <w:t xml:space="preserve">Section one: feedback on the </w:t>
      </w:r>
      <w:r w:rsidR="008074C7" w:rsidRPr="008074C7">
        <w:rPr>
          <w:b/>
        </w:rPr>
        <w:t xml:space="preserve">full-length </w:t>
      </w:r>
      <w:r w:rsidRPr="008074C7">
        <w:rPr>
          <w:b/>
        </w:rPr>
        <w:t>standard contract</w:t>
      </w:r>
      <w:r w:rsidR="008074C7" w:rsidRPr="008074C7">
        <w:rPr>
          <w:b/>
        </w:rPr>
        <w:t xml:space="preserve"> </w:t>
      </w:r>
    </w:p>
    <w:p w:rsidR="002F657A" w:rsidRPr="00FE0A8E" w:rsidRDefault="00F37308" w:rsidP="00FE0A8E">
      <w:pPr>
        <w:pStyle w:val="ListParagraph"/>
        <w:numPr>
          <w:ilvl w:val="0"/>
          <w:numId w:val="2"/>
        </w:numPr>
        <w:rPr>
          <w:b/>
        </w:rPr>
      </w:pPr>
      <w:r w:rsidRPr="008074C7">
        <w:rPr>
          <w:b/>
        </w:rPr>
        <w:t>Section two: feedback on the short</w:t>
      </w:r>
      <w:r w:rsidR="008074C7" w:rsidRPr="008074C7">
        <w:rPr>
          <w:b/>
        </w:rPr>
        <w:t>er-</w:t>
      </w:r>
      <w:r w:rsidRPr="008074C7">
        <w:rPr>
          <w:b/>
        </w:rPr>
        <w:t xml:space="preserve">form contract </w:t>
      </w:r>
    </w:p>
    <w:p w:rsidR="002F657A" w:rsidRPr="0054541E" w:rsidRDefault="0054541E" w:rsidP="008074C7">
      <w:pPr>
        <w:rPr>
          <w:b/>
          <w:u w:val="single"/>
        </w:rPr>
      </w:pPr>
      <w:r w:rsidRPr="0054541E">
        <w:rPr>
          <w:b/>
          <w:u w:val="single"/>
        </w:rPr>
        <w:t>SECTION ONE: FEEDBACK ON THE FULL-LENGTH STANDARD CONTRACT</w:t>
      </w:r>
    </w:p>
    <w:tbl>
      <w:tblPr>
        <w:tblStyle w:val="TableGrid"/>
        <w:tblW w:w="9209" w:type="dxa"/>
        <w:tblLook w:val="04A0" w:firstRow="1" w:lastRow="0" w:firstColumn="1" w:lastColumn="0" w:noHBand="0" w:noVBand="1"/>
      </w:tblPr>
      <w:tblGrid>
        <w:gridCol w:w="1141"/>
        <w:gridCol w:w="3532"/>
        <w:gridCol w:w="4536"/>
      </w:tblGrid>
      <w:tr w:rsidR="008074C7" w:rsidTr="00155B40">
        <w:trPr>
          <w:tblHeader/>
        </w:trPr>
        <w:tc>
          <w:tcPr>
            <w:tcW w:w="1141" w:type="dxa"/>
          </w:tcPr>
          <w:p w:rsidR="008074C7" w:rsidRPr="008074C7" w:rsidRDefault="008074C7" w:rsidP="008074C7">
            <w:pPr>
              <w:rPr>
                <w:b/>
              </w:rPr>
            </w:pPr>
            <w:r w:rsidRPr="008074C7">
              <w:rPr>
                <w:b/>
              </w:rPr>
              <w:t xml:space="preserve">Contract Reference </w:t>
            </w:r>
          </w:p>
        </w:tc>
        <w:tc>
          <w:tcPr>
            <w:tcW w:w="3532" w:type="dxa"/>
          </w:tcPr>
          <w:p w:rsidR="008074C7" w:rsidRPr="008074C7" w:rsidRDefault="00155B40" w:rsidP="00B87247">
            <w:pPr>
              <w:rPr>
                <w:b/>
              </w:rPr>
            </w:pPr>
            <w:r>
              <w:rPr>
                <w:b/>
              </w:rPr>
              <w:t xml:space="preserve">NHS England Text </w:t>
            </w:r>
          </w:p>
        </w:tc>
        <w:tc>
          <w:tcPr>
            <w:tcW w:w="4536" w:type="dxa"/>
          </w:tcPr>
          <w:p w:rsidR="008074C7" w:rsidRPr="008074C7" w:rsidRDefault="00155B40" w:rsidP="008074C7">
            <w:pPr>
              <w:rPr>
                <w:b/>
              </w:rPr>
            </w:pPr>
            <w:r>
              <w:rPr>
                <w:b/>
              </w:rPr>
              <w:t xml:space="preserve">NCHA </w:t>
            </w:r>
            <w:r w:rsidR="008074C7" w:rsidRPr="008074C7">
              <w:rPr>
                <w:b/>
              </w:rPr>
              <w:t xml:space="preserve">Comment </w:t>
            </w:r>
          </w:p>
        </w:tc>
      </w:tr>
      <w:tr w:rsidR="008074C7" w:rsidTr="00155B40">
        <w:tc>
          <w:tcPr>
            <w:tcW w:w="1141" w:type="dxa"/>
          </w:tcPr>
          <w:p w:rsidR="008074C7" w:rsidRDefault="00B87247" w:rsidP="008074C7">
            <w:r>
              <w:t>GC5</w:t>
            </w:r>
          </w:p>
        </w:tc>
        <w:tc>
          <w:tcPr>
            <w:tcW w:w="3532" w:type="dxa"/>
          </w:tcPr>
          <w:p w:rsidR="008074C7" w:rsidRDefault="00086DBE" w:rsidP="00B87247">
            <w:pPr>
              <w:rPr>
                <w:i/>
              </w:rPr>
            </w:pPr>
            <w:r w:rsidRPr="00D231F0">
              <w:rPr>
                <w:i/>
              </w:rPr>
              <w:t>“</w:t>
            </w:r>
            <w:r w:rsidR="00B87247" w:rsidRPr="00D231F0">
              <w:rPr>
                <w:i/>
              </w:rPr>
              <w:t xml:space="preserve">5.8 – </w:t>
            </w:r>
            <w:r w:rsidR="0054541E" w:rsidRPr="00D231F0">
              <w:rPr>
                <w:i/>
              </w:rPr>
              <w:t>The Provider must nominate a Freedom To Speak Up Guardian. The Provider must have in place and promote (and must ensure that all Sub-Contractors have in place and promote) a code and effective procedures to ensure that Staff have appropriate means through which they may raise any concerns they may have in relation to the Services. The Provider must ensure that nothing in any contract of employment or contract for services or any other agreement entered into by it or any Sub-Contractor with any member of Staff will prevent or inhibit, or purport to prevent or inhibit, the making of any protected disclosure (as defined in the Public Interest Disclosure Act 1998) by that member of Staff nor affect the rights of that member of Staff under that Act.</w:t>
            </w:r>
            <w:r w:rsidRPr="00D231F0">
              <w:rPr>
                <w:i/>
              </w:rPr>
              <w:t>”</w:t>
            </w:r>
          </w:p>
          <w:p w:rsidR="00D231F0" w:rsidRPr="00D231F0" w:rsidRDefault="00D231F0" w:rsidP="00B87247">
            <w:pPr>
              <w:rPr>
                <w:i/>
              </w:rPr>
            </w:pPr>
          </w:p>
        </w:tc>
        <w:tc>
          <w:tcPr>
            <w:tcW w:w="4536" w:type="dxa"/>
          </w:tcPr>
          <w:p w:rsidR="00D231F0" w:rsidRPr="00D231F0" w:rsidRDefault="00086DBE" w:rsidP="008074C7">
            <w:r w:rsidRPr="00D231F0">
              <w:t xml:space="preserve">We support the principle. </w:t>
            </w:r>
            <w:r w:rsidR="003A0CE8">
              <w:t xml:space="preserve">However </w:t>
            </w:r>
            <w:r w:rsidR="003A0CE8" w:rsidRPr="00D231F0">
              <w:t xml:space="preserve">for a smaller provider </w:t>
            </w:r>
            <w:r w:rsidR="001762AD">
              <w:t xml:space="preserve">a single person is </w:t>
            </w:r>
            <w:r w:rsidR="00DD3AC7">
              <w:t xml:space="preserve">likely to be </w:t>
            </w:r>
            <w:r w:rsidR="003A0CE8" w:rsidRPr="00D231F0">
              <w:t xml:space="preserve">nominated </w:t>
            </w:r>
            <w:r w:rsidR="003A0CE8">
              <w:t>as</w:t>
            </w:r>
            <w:r w:rsidR="003A0CE8" w:rsidRPr="00D231F0">
              <w:t xml:space="preserve"> </w:t>
            </w:r>
            <w:r w:rsidR="003A0CE8">
              <w:t>the Freedom to Speak Up Guardian</w:t>
            </w:r>
            <w:r w:rsidR="00DD3AC7">
              <w:t xml:space="preserve">, </w:t>
            </w:r>
            <w:r w:rsidR="003A0CE8">
              <w:t>the named lead for</w:t>
            </w:r>
            <w:r w:rsidR="003A0CE8" w:rsidRPr="00D231F0">
              <w:t xml:space="preserve"> Prevent and Safeguarding etc.</w:t>
            </w:r>
          </w:p>
          <w:p w:rsidR="0054541E" w:rsidRPr="00D231F0" w:rsidRDefault="0054541E" w:rsidP="008074C7"/>
          <w:p w:rsidR="0054541E" w:rsidRPr="00D231F0" w:rsidRDefault="0054541E" w:rsidP="008074C7"/>
        </w:tc>
      </w:tr>
      <w:tr w:rsidR="008074C7" w:rsidTr="00155B40">
        <w:tc>
          <w:tcPr>
            <w:tcW w:w="1141" w:type="dxa"/>
          </w:tcPr>
          <w:p w:rsidR="008074C7" w:rsidRDefault="000F145A" w:rsidP="008074C7">
            <w:r>
              <w:t xml:space="preserve">G27 </w:t>
            </w:r>
          </w:p>
        </w:tc>
        <w:tc>
          <w:tcPr>
            <w:tcW w:w="3532" w:type="dxa"/>
          </w:tcPr>
          <w:p w:rsidR="008074C7" w:rsidRDefault="000F145A" w:rsidP="000F145A">
            <w:r>
              <w:t>All – Conflicts of Interest and Transparency on Gifts and Hospitality</w:t>
            </w:r>
          </w:p>
        </w:tc>
        <w:tc>
          <w:tcPr>
            <w:tcW w:w="4536" w:type="dxa"/>
          </w:tcPr>
          <w:p w:rsidR="003F7875" w:rsidRDefault="00FF2148" w:rsidP="002502B3">
            <w:r>
              <w:t xml:space="preserve">We support this new condition. However small providers might not have a website. Alternative methods of maintaining a register for small providers should be </w:t>
            </w:r>
            <w:r w:rsidR="002502B3">
              <w:t>permitted</w:t>
            </w:r>
            <w:r>
              <w:t>.</w:t>
            </w:r>
            <w:r w:rsidR="003F7875">
              <w:t xml:space="preserve"> </w:t>
            </w:r>
          </w:p>
          <w:p w:rsidR="002502B3" w:rsidRDefault="002502B3" w:rsidP="002502B3"/>
        </w:tc>
      </w:tr>
      <w:tr w:rsidR="008074C7" w:rsidTr="00155B40">
        <w:tc>
          <w:tcPr>
            <w:tcW w:w="1141" w:type="dxa"/>
          </w:tcPr>
          <w:p w:rsidR="008074C7" w:rsidRDefault="000A3D4A" w:rsidP="008074C7">
            <w:r>
              <w:t>SC1 and SC10</w:t>
            </w:r>
          </w:p>
        </w:tc>
        <w:tc>
          <w:tcPr>
            <w:tcW w:w="3532" w:type="dxa"/>
          </w:tcPr>
          <w:p w:rsidR="00CD157B" w:rsidRDefault="00CD157B" w:rsidP="00CD157B">
            <w:r>
              <w:t xml:space="preserve">The consultation document states </w:t>
            </w:r>
          </w:p>
          <w:p w:rsidR="00CD157B" w:rsidRPr="00CD157B" w:rsidRDefault="00CD157B" w:rsidP="00CD157B">
            <w:pPr>
              <w:rPr>
                <w:i/>
              </w:rPr>
            </w:pPr>
            <w:r w:rsidRPr="00CD157B">
              <w:rPr>
                <w:i/>
              </w:rPr>
              <w:t xml:space="preserve">“We have amended some provisions with the aim of supporting </w:t>
            </w:r>
            <w:r w:rsidRPr="00CD157B">
              <w:rPr>
                <w:i/>
              </w:rPr>
              <w:lastRenderedPageBreak/>
              <w:t>commis</w:t>
            </w:r>
            <w:r w:rsidR="003F7875">
              <w:rPr>
                <w:i/>
              </w:rPr>
              <w:t xml:space="preserve">sioners to implement Right Care </w:t>
            </w:r>
            <w:r w:rsidRPr="00CD157B">
              <w:rPr>
                <w:i/>
              </w:rPr>
              <w:t>(http://www.rightcare.nhs.uk/).This includes strengthening the requirements on providers in relation to the use of Patient Decision Aids and the adoption of evidence-based good practice.”</w:t>
            </w:r>
          </w:p>
          <w:p w:rsidR="008074C7" w:rsidRDefault="008074C7" w:rsidP="008074C7"/>
        </w:tc>
        <w:tc>
          <w:tcPr>
            <w:tcW w:w="4536" w:type="dxa"/>
          </w:tcPr>
          <w:p w:rsidR="003F7875" w:rsidRDefault="00CD157B" w:rsidP="00CD157B">
            <w:r w:rsidRPr="0059773B">
              <w:lastRenderedPageBreak/>
              <w:t xml:space="preserve">We think that evidence-based practice is </w:t>
            </w:r>
            <w:r w:rsidR="009D52EA" w:rsidRPr="0059773B">
              <w:t xml:space="preserve">a </w:t>
            </w:r>
            <w:r w:rsidRPr="0059773B">
              <w:t xml:space="preserve">more important </w:t>
            </w:r>
            <w:r w:rsidR="00002F6B" w:rsidRPr="0059773B">
              <w:t xml:space="preserve">requirement for providers </w:t>
            </w:r>
            <w:r w:rsidRPr="0059773B">
              <w:t>than</w:t>
            </w:r>
            <w:r w:rsidR="00002F6B" w:rsidRPr="0059773B">
              <w:t xml:space="preserve"> </w:t>
            </w:r>
            <w:r w:rsidR="00537FB3" w:rsidRPr="0059773B">
              <w:lastRenderedPageBreak/>
              <w:t xml:space="preserve">guidance from a particular </w:t>
            </w:r>
            <w:r w:rsidR="0059773B" w:rsidRPr="0059773B">
              <w:t xml:space="preserve">organisation, </w:t>
            </w:r>
            <w:r w:rsidR="00002F6B" w:rsidRPr="0059773B">
              <w:t>e.g</w:t>
            </w:r>
            <w:r w:rsidRPr="0059773B">
              <w:t>.</w:t>
            </w:r>
            <w:r w:rsidR="00002F6B" w:rsidRPr="0059773B">
              <w:t xml:space="preserve"> Right Care.</w:t>
            </w:r>
            <w:r>
              <w:t xml:space="preserve">  </w:t>
            </w:r>
          </w:p>
          <w:p w:rsidR="00616B9E" w:rsidRDefault="00616B9E" w:rsidP="00CD157B"/>
          <w:p w:rsidR="003F7875" w:rsidRDefault="00CD157B" w:rsidP="00CD157B">
            <w:r>
              <w:t>Whilst we support a lot of what Right</w:t>
            </w:r>
            <w:r w:rsidR="003F7875">
              <w:t xml:space="preserve"> </w:t>
            </w:r>
            <w:r>
              <w:t xml:space="preserve">Care </w:t>
            </w:r>
            <w:r w:rsidR="00537FB3">
              <w:t>promotes</w:t>
            </w:r>
            <w:r>
              <w:t>, it is odd that NICE guidelines would remain “guidance” but Right</w:t>
            </w:r>
            <w:r w:rsidR="003F7875">
              <w:t xml:space="preserve"> </w:t>
            </w:r>
            <w:r>
              <w:t xml:space="preserve">Care would become a Service Condition in the Standard Contract. </w:t>
            </w:r>
          </w:p>
          <w:p w:rsidR="00CB2BCB" w:rsidRDefault="00CB2BCB" w:rsidP="00CD157B"/>
          <w:p w:rsidR="003F7875" w:rsidRDefault="00537FB3" w:rsidP="007E46CB">
            <w:r>
              <w:t>We think that there is in</w:t>
            </w:r>
            <w:r w:rsidR="003F7875">
              <w:t>sufficient evidence to support a specific reference to Righ</w:t>
            </w:r>
            <w:r>
              <w:t xml:space="preserve">t Care. If there was a </w:t>
            </w:r>
            <w:r w:rsidR="00B16437">
              <w:t>Service Condition</w:t>
            </w:r>
            <w:r>
              <w:t xml:space="preserve"> link</w:t>
            </w:r>
            <w:r w:rsidR="00B16437">
              <w:t>ed</w:t>
            </w:r>
            <w:r w:rsidR="003F7875">
              <w:t xml:space="preserve"> to a specific</w:t>
            </w:r>
            <w:r>
              <w:t xml:space="preserve"> organisation,</w:t>
            </w:r>
            <w:r w:rsidR="00B16437">
              <w:t xml:space="preserve"> in our view,</w:t>
            </w:r>
            <w:r>
              <w:t xml:space="preserve"> that organisation should </w:t>
            </w:r>
            <w:r w:rsidR="003F7875">
              <w:t xml:space="preserve">be NICE. </w:t>
            </w:r>
          </w:p>
          <w:p w:rsidR="006E3166" w:rsidRDefault="006E3166" w:rsidP="007E46CB"/>
        </w:tc>
      </w:tr>
      <w:tr w:rsidR="0054541E" w:rsidTr="00155B40">
        <w:tc>
          <w:tcPr>
            <w:tcW w:w="1141" w:type="dxa"/>
          </w:tcPr>
          <w:p w:rsidR="0054541E" w:rsidRDefault="003C77A6" w:rsidP="008074C7">
            <w:r>
              <w:lastRenderedPageBreak/>
              <w:t>SC8</w:t>
            </w:r>
          </w:p>
        </w:tc>
        <w:tc>
          <w:tcPr>
            <w:tcW w:w="3532" w:type="dxa"/>
          </w:tcPr>
          <w:p w:rsidR="0054541E" w:rsidRDefault="003C77A6" w:rsidP="008074C7">
            <w:r>
              <w:t>All</w:t>
            </w:r>
          </w:p>
        </w:tc>
        <w:tc>
          <w:tcPr>
            <w:tcW w:w="4536" w:type="dxa"/>
          </w:tcPr>
          <w:p w:rsidR="005200FD" w:rsidRDefault="005200FD" w:rsidP="005200FD">
            <w:r>
              <w:t>We support Make Every Contact Count (</w:t>
            </w:r>
            <w:hyperlink r:id="rId8" w:history="1">
              <w:r w:rsidRPr="005200FD">
                <w:rPr>
                  <w:rStyle w:val="Hyperlink"/>
                </w:rPr>
                <w:t>MECC) guidance</w:t>
              </w:r>
            </w:hyperlink>
            <w:r>
              <w:t xml:space="preserve">. </w:t>
            </w:r>
          </w:p>
          <w:p w:rsidR="00C10C68" w:rsidRDefault="00C10C68" w:rsidP="005200FD"/>
          <w:p w:rsidR="005200FD" w:rsidRDefault="005200FD" w:rsidP="005200FD">
            <w:r>
              <w:t>It is important however that CCG</w:t>
            </w:r>
            <w:r w:rsidR="003F7875">
              <w:t>s</w:t>
            </w:r>
            <w:r>
              <w:t xml:space="preserve"> understand – e.g. through the supporting technical guidance – that ensuring sensory and other core needs are met is </w:t>
            </w:r>
            <w:r w:rsidR="00280294">
              <w:t>a part of the</w:t>
            </w:r>
            <w:r>
              <w:t xml:space="preserve"> MECC </w:t>
            </w:r>
            <w:r w:rsidR="00280294">
              <w:t>approach</w:t>
            </w:r>
            <w:r>
              <w:t xml:space="preserve">.  </w:t>
            </w:r>
          </w:p>
          <w:p w:rsidR="00895012" w:rsidRDefault="00895012" w:rsidP="005200FD"/>
          <w:p w:rsidR="005200FD" w:rsidRDefault="003F7875" w:rsidP="005200FD">
            <w:r>
              <w:t>MECC, because of unmet need</w:t>
            </w:r>
            <w:r w:rsidR="005200FD">
              <w:t xml:space="preserve">, is therefore likely to increase cost when providers meet this duty (SC8). </w:t>
            </w:r>
          </w:p>
          <w:p w:rsidR="00C10C68" w:rsidRDefault="00C10C68" w:rsidP="005200FD"/>
          <w:p w:rsidR="00C10C68" w:rsidRDefault="005200FD" w:rsidP="005200FD">
            <w:r>
              <w:t xml:space="preserve">Our experience with CCGs is that they </w:t>
            </w:r>
            <w:r w:rsidR="00657E33">
              <w:t xml:space="preserve">are inclined </w:t>
            </w:r>
            <w:r w:rsidR="00280294">
              <w:t xml:space="preserve">to </w:t>
            </w:r>
            <w:r>
              <w:t>ignore the Standard Contract, the NHS Mandate and policy objectives set by NHS England. If NHS England is not going to enforce/support MEEC guidance we don’t think it should be included in the SC8.</w:t>
            </w:r>
          </w:p>
          <w:p w:rsidR="00B2753B" w:rsidRDefault="00B2753B" w:rsidP="005200FD"/>
        </w:tc>
      </w:tr>
      <w:tr w:rsidR="008074C7" w:rsidTr="00155B40">
        <w:tc>
          <w:tcPr>
            <w:tcW w:w="1141" w:type="dxa"/>
          </w:tcPr>
          <w:p w:rsidR="008074C7" w:rsidRDefault="00817E41" w:rsidP="008074C7">
            <w:r>
              <w:t>SC36</w:t>
            </w:r>
          </w:p>
        </w:tc>
        <w:tc>
          <w:tcPr>
            <w:tcW w:w="3532" w:type="dxa"/>
          </w:tcPr>
          <w:p w:rsidR="008074C7" w:rsidRDefault="00817E41" w:rsidP="008074C7">
            <w:r>
              <w:t>The consultation response notes</w:t>
            </w:r>
          </w:p>
          <w:p w:rsidR="00817E41" w:rsidRDefault="00817E41" w:rsidP="008074C7">
            <w:pPr>
              <w:rPr>
                <w:i/>
              </w:rPr>
            </w:pPr>
            <w:r w:rsidRPr="00817E41">
              <w:rPr>
                <w:i/>
              </w:rPr>
              <w:t>“We have introduced a new requirement on commissioners and providers to use the new national electronic invoicing system, Tradeshift.”</w:t>
            </w:r>
          </w:p>
          <w:p w:rsidR="003C298C" w:rsidRDefault="003C298C" w:rsidP="008074C7">
            <w:pPr>
              <w:rPr>
                <w:i/>
              </w:rPr>
            </w:pPr>
          </w:p>
          <w:p w:rsidR="003C298C" w:rsidRDefault="003C298C" w:rsidP="003C298C">
            <w:r>
              <w:t xml:space="preserve">But this Tradeshift is not included in SC36.  Paragraph 36.49 only states </w:t>
            </w:r>
          </w:p>
          <w:p w:rsidR="003C298C" w:rsidRDefault="003C298C" w:rsidP="003C298C"/>
          <w:p w:rsidR="003C298C" w:rsidRPr="00817E41" w:rsidRDefault="003C298C" w:rsidP="003C298C">
            <w:r>
              <w:t>“The Provider must use all reasonable endeavours to submit all invoices via the e-Invoicing Platform in accordance with e-Invoicing Guidance.”</w:t>
            </w:r>
          </w:p>
        </w:tc>
        <w:tc>
          <w:tcPr>
            <w:tcW w:w="4536" w:type="dxa"/>
          </w:tcPr>
          <w:p w:rsidR="003C298C" w:rsidRDefault="00FD0349" w:rsidP="003C298C">
            <w:r>
              <w:t>T</w:t>
            </w:r>
            <w:r w:rsidR="003C298C">
              <w:t xml:space="preserve">rying to switch all providers onto Tradeshift in 2016/17 will not be possible.  </w:t>
            </w:r>
          </w:p>
          <w:p w:rsidR="002050DF" w:rsidRDefault="002050DF" w:rsidP="003C298C"/>
          <w:p w:rsidR="007715E3" w:rsidRDefault="003C298C" w:rsidP="003F7875">
            <w:r>
              <w:t>NHS SBS notes</w:t>
            </w:r>
            <w:r w:rsidR="003F7875">
              <w:t xml:space="preserve"> on its website</w:t>
            </w:r>
            <w:r>
              <w:t xml:space="preserve"> – </w:t>
            </w:r>
            <w:hyperlink r:id="rId9" w:history="1">
              <w:r w:rsidRPr="003C298C">
                <w:rPr>
                  <w:rStyle w:val="Hyperlink"/>
                </w:rPr>
                <w:t xml:space="preserve">as of 14 March 2016 </w:t>
              </w:r>
            </w:hyperlink>
            <w:r>
              <w:t xml:space="preserve">- that it </w:t>
            </w:r>
            <w:r w:rsidR="00FD0349">
              <w:t>is currently in the process of transferring</w:t>
            </w:r>
            <w:r>
              <w:t xml:space="preserve"> its NHS clients onto</w:t>
            </w:r>
            <w:r w:rsidR="00FD0349">
              <w:t xml:space="preserve"> this platform. It is unclear whether</w:t>
            </w:r>
            <w:r>
              <w:t xml:space="preserve"> the platform can cope with a surge in </w:t>
            </w:r>
            <w:r w:rsidR="000D3347">
              <w:t>usage</w:t>
            </w:r>
            <w:r w:rsidR="003F7875">
              <w:t>. In which case,</w:t>
            </w:r>
            <w:r>
              <w:t xml:space="preserve"> delayed payments and extra paper work generated would come at a significant cost. </w:t>
            </w:r>
          </w:p>
          <w:p w:rsidR="007715E3" w:rsidRDefault="007715E3" w:rsidP="003F7875"/>
          <w:p w:rsidR="003F7875" w:rsidRDefault="003C298C" w:rsidP="003F7875">
            <w:r>
              <w:t>We therefore support the current wording in SC36. 34.49</w:t>
            </w:r>
            <w:r w:rsidR="00CB378A">
              <w:t xml:space="preserve">. </w:t>
            </w:r>
            <w:r w:rsidR="000D3347">
              <w:t xml:space="preserve">We would </w:t>
            </w:r>
            <w:r w:rsidR="00CB378A">
              <w:t>not support requiring providers to use Tradeshift in 2016/17.</w:t>
            </w:r>
          </w:p>
          <w:p w:rsidR="0017104D" w:rsidRDefault="0017104D" w:rsidP="003F7875"/>
          <w:p w:rsidR="000D3347" w:rsidRDefault="003C298C" w:rsidP="003F7875">
            <w:r w:rsidRPr="005F457E">
              <w:lastRenderedPageBreak/>
              <w:t>Once the system has proven it is capable of handling the volumes likely to take place in the NHS it co</w:t>
            </w:r>
            <w:r w:rsidR="000D3347" w:rsidRPr="005F457E">
              <w:t xml:space="preserve">uld </w:t>
            </w:r>
            <w:r w:rsidR="005F457E" w:rsidRPr="005F457E">
              <w:t xml:space="preserve">potentially </w:t>
            </w:r>
            <w:r w:rsidR="000D3347" w:rsidRPr="005F457E">
              <w:t>be the recommended platform from 2017/18.</w:t>
            </w:r>
          </w:p>
          <w:p w:rsidR="008074C7" w:rsidRDefault="003C298C" w:rsidP="003F7875">
            <w:r>
              <w:t xml:space="preserve">  </w:t>
            </w:r>
          </w:p>
        </w:tc>
      </w:tr>
      <w:tr w:rsidR="00F9432B" w:rsidTr="00155B40">
        <w:tc>
          <w:tcPr>
            <w:tcW w:w="1141" w:type="dxa"/>
          </w:tcPr>
          <w:p w:rsidR="00F9432B" w:rsidRDefault="00F9432B" w:rsidP="008074C7">
            <w:r>
              <w:lastRenderedPageBreak/>
              <w:t xml:space="preserve">Technical Guidance – and SC29 </w:t>
            </w:r>
          </w:p>
        </w:tc>
        <w:tc>
          <w:tcPr>
            <w:tcW w:w="3532" w:type="dxa"/>
          </w:tcPr>
          <w:p w:rsidR="00F9432B" w:rsidRDefault="00F9432B" w:rsidP="008074C7">
            <w:r>
              <w:t xml:space="preserve">At the workshop 8 March NHS England made clear it was making changes to the Prior Approval Scheme wording “SC29.3-4”. </w:t>
            </w:r>
          </w:p>
          <w:p w:rsidR="00F9432B" w:rsidRDefault="00F741F9" w:rsidP="00F9432B">
            <w:r>
              <w:t>On reviewing SC29 i</w:t>
            </w:r>
            <w:r w:rsidR="00F9432B">
              <w:t xml:space="preserve">t is not clear what has been changed. </w:t>
            </w:r>
          </w:p>
          <w:p w:rsidR="00F9432B" w:rsidRDefault="00F9432B" w:rsidP="00F9432B">
            <w:r>
              <w:t>We have therefore referred to the draft technical guidance</w:t>
            </w:r>
          </w:p>
          <w:p w:rsidR="00F9432B" w:rsidRDefault="00F9432B" w:rsidP="00F9432B"/>
          <w:p w:rsidR="00B140BC" w:rsidRDefault="00F9432B" w:rsidP="00F9432B">
            <w:r>
              <w:t xml:space="preserve">“42.6 Secondly, </w:t>
            </w:r>
            <w:r w:rsidRPr="00B140BC">
              <w:rPr>
                <w:highlight w:val="yellow"/>
              </w:rPr>
              <w:t>we have made small (but significant) changes to the Contract wording around referral protocols and clinical thresholds for treatment (SC29.3-4).</w:t>
            </w:r>
            <w:r>
              <w:t xml:space="preserve"> These make clear that such documents may be included within service specifications or other aspects of the contract which are agreed between commissioner and provider </w:t>
            </w:r>
            <w:r w:rsidRPr="00B140BC">
              <w:rPr>
                <w:highlight w:val="yellow"/>
              </w:rPr>
              <w:t>– but that, in other circumstances, they may instead be notified by the commissioner to the provider as a Prior Approval Scheme (described more fully below).</w:t>
            </w:r>
          </w:p>
          <w:p w:rsidR="00F9432B" w:rsidRDefault="00F9432B" w:rsidP="00F9432B">
            <w:r>
              <w:t xml:space="preserve">42.7 It is worth explaining how these revised provisions are intended to operate. </w:t>
            </w:r>
          </w:p>
          <w:p w:rsidR="00F9432B" w:rsidRDefault="00315DEA" w:rsidP="00F9432B">
            <w:r>
              <w:t>[…..]</w:t>
            </w:r>
          </w:p>
          <w:p w:rsidR="00F9432B" w:rsidRDefault="00F9432B" w:rsidP="00F9432B">
            <w:r>
              <w:sym w:font="Symbol" w:char="F0B7"/>
            </w:r>
            <w:r>
              <w:t xml:space="preserve"> </w:t>
            </w:r>
            <w:r w:rsidRPr="00B140BC">
              <w:rPr>
                <w:highlight w:val="yellow"/>
              </w:rPr>
              <w:t>But what about the situation where a service operates on an ”activity x price” basis (such as the majority of consultant-led acute services)? In this instance, the price is not dependent on a fixed or guaranteed level of activity. So, for instance, if the commissioner identifies that it wishes to restrict access to certain treatments when specific clinical criteria are met, it is perfectly reasonable for it to do so – so long as what it is requiring the provider to do remains consistent with Good Practice as defined in the Contract</w:t>
            </w:r>
            <w:r>
              <w:t xml:space="preserve">. </w:t>
            </w:r>
            <w:r w:rsidRPr="00A079B4">
              <w:rPr>
                <w:highlight w:val="red"/>
              </w:rPr>
              <w:t xml:space="preserve">In this situation, therefore, </w:t>
            </w:r>
            <w:r w:rsidRPr="00A079B4">
              <w:rPr>
                <w:highlight w:val="red"/>
              </w:rPr>
              <w:lastRenderedPageBreak/>
              <w:t>referral and treatment protocols are best kept separate from service specifications and treated instead as Prior Approval Schemes, which the commissioner can introduce or change through notification to the provider (SC29.21 onwards), but which do not require provider consent.</w:t>
            </w:r>
          </w:p>
          <w:p w:rsidR="00B140BC" w:rsidRDefault="00B140BC" w:rsidP="00F9432B"/>
        </w:tc>
        <w:tc>
          <w:tcPr>
            <w:tcW w:w="4536" w:type="dxa"/>
          </w:tcPr>
          <w:p w:rsidR="00F9432B" w:rsidRDefault="00B140BC" w:rsidP="003C298C">
            <w:r>
              <w:lastRenderedPageBreak/>
              <w:t xml:space="preserve">We disagree with </w:t>
            </w:r>
          </w:p>
          <w:p w:rsidR="00B140BC" w:rsidRDefault="00B140BC" w:rsidP="00B140BC">
            <w:pPr>
              <w:pStyle w:val="ListParagraph"/>
              <w:numPr>
                <w:ilvl w:val="0"/>
                <w:numId w:val="5"/>
              </w:numPr>
            </w:pPr>
            <w:r>
              <w:t xml:space="preserve">the proposal </w:t>
            </w:r>
          </w:p>
          <w:p w:rsidR="00B140BC" w:rsidRDefault="00B140BC" w:rsidP="00B140BC">
            <w:pPr>
              <w:pStyle w:val="ListParagraph"/>
              <w:numPr>
                <w:ilvl w:val="0"/>
                <w:numId w:val="5"/>
              </w:numPr>
            </w:pPr>
            <w:r>
              <w:t xml:space="preserve">the consultation </w:t>
            </w:r>
            <w:r w:rsidR="00C141C0">
              <w:t xml:space="preserve">process </w:t>
            </w:r>
            <w:r>
              <w:t>on this important point</w:t>
            </w:r>
            <w:r w:rsidR="00AE5EE8">
              <w:t xml:space="preserve"> </w:t>
            </w:r>
            <w:r w:rsidR="002D69AF">
              <w:t>should not be</w:t>
            </w:r>
            <w:r w:rsidR="00AE5EE8">
              <w:t xml:space="preserve"> rushed in this brief consultation</w:t>
            </w:r>
            <w:r w:rsidR="00B2753B">
              <w:t>.</w:t>
            </w:r>
            <w:r w:rsidR="00AE5EE8">
              <w:t xml:space="preserve"> </w:t>
            </w:r>
          </w:p>
          <w:p w:rsidR="00B140BC" w:rsidRDefault="00B140BC" w:rsidP="00B140BC"/>
          <w:p w:rsidR="00AE5EE8" w:rsidRDefault="00B140BC" w:rsidP="00B140BC">
            <w:r>
              <w:t xml:space="preserve">We feel </w:t>
            </w:r>
            <w:r w:rsidR="0028043C">
              <w:t xml:space="preserve">this will open up </w:t>
            </w:r>
            <w:r>
              <w:t>a significant risk of rationi</w:t>
            </w:r>
            <w:r w:rsidR="00D9096C">
              <w:t>ng without public consultation and patients’ involvement.</w:t>
            </w:r>
          </w:p>
          <w:p w:rsidR="00AE5EE8" w:rsidRDefault="00AE5EE8" w:rsidP="00B140BC"/>
          <w:p w:rsidR="00C141C0" w:rsidRDefault="00C141C0" w:rsidP="00B140BC">
            <w:r>
              <w:t>If NHS England proceeds with this it should</w:t>
            </w:r>
            <w:r w:rsidR="00AE5EE8">
              <w:t xml:space="preserve"> </w:t>
            </w:r>
            <w:r w:rsidR="00387E1D">
              <w:t xml:space="preserve">explain this in </w:t>
            </w:r>
            <w:r w:rsidR="00AE5EE8">
              <w:t xml:space="preserve">its technical guidance – </w:t>
            </w:r>
            <w:r>
              <w:t xml:space="preserve">specifically that CCGs should consult if they </w:t>
            </w:r>
            <w:r w:rsidR="00B66C15">
              <w:t>plan</w:t>
            </w:r>
            <w:r w:rsidR="00F26D5C">
              <w:t xml:space="preserve"> to ration services</w:t>
            </w:r>
            <w:r w:rsidR="00B66C15">
              <w:t>, e.g. intending on developing a thresholds plan.</w:t>
            </w:r>
          </w:p>
          <w:p w:rsidR="00AE5EE8" w:rsidRDefault="00AE5EE8" w:rsidP="00B140BC"/>
          <w:p w:rsidR="00B140BC" w:rsidRDefault="00B140BC" w:rsidP="00B140BC">
            <w:r>
              <w:t>Allowing CCGs to retrospectively design a “Prior” Approval Scheme</w:t>
            </w:r>
            <w:r w:rsidR="009D5676">
              <w:t xml:space="preserve"> ad libitum</w:t>
            </w:r>
            <w:r>
              <w:t xml:space="preserve"> </w:t>
            </w:r>
            <w:r w:rsidR="009D5676">
              <w:t>does not give local patients as effective v</w:t>
            </w:r>
            <w:r>
              <w:t>oice</w:t>
            </w:r>
            <w:r w:rsidR="009D5676">
              <w:t xml:space="preserve"> in service design</w:t>
            </w:r>
            <w:r>
              <w:t xml:space="preserve">. </w:t>
            </w:r>
          </w:p>
          <w:p w:rsidR="00AE5EE8" w:rsidRDefault="00AE5EE8" w:rsidP="00B140BC"/>
          <w:p w:rsidR="00AE5EE8" w:rsidRDefault="00AE5EE8" w:rsidP="00B140BC">
            <w:r>
              <w:t xml:space="preserve">The logic that no guaranteed activity means that price is not dependent on volume also needs </w:t>
            </w:r>
            <w:r w:rsidR="00B6364C">
              <w:t xml:space="preserve">to </w:t>
            </w:r>
            <w:r w:rsidR="00A718B9">
              <w:t xml:space="preserve">be </w:t>
            </w:r>
            <w:r w:rsidR="00B23FF7">
              <w:t>thought through</w:t>
            </w:r>
            <w:r>
              <w:t xml:space="preserve">. The average tariff is set based on average cost, and average cost </w:t>
            </w:r>
            <w:r w:rsidR="00B23FF7">
              <w:t>is</w:t>
            </w:r>
            <w:r>
              <w:t xml:space="preserve"> a function of volume. If providers are confronted with unpredictable “Prior” Approval Schemes from CCGs they may well find </w:t>
            </w:r>
            <w:r w:rsidR="005C6944">
              <w:t xml:space="preserve">that </w:t>
            </w:r>
            <w:r w:rsidR="00B23FF7">
              <w:t>this service is not</w:t>
            </w:r>
            <w:r>
              <w:t xml:space="preserve"> sustainable at a departmental level. </w:t>
            </w:r>
          </w:p>
          <w:p w:rsidR="00AE5EE8" w:rsidRDefault="00AE5EE8" w:rsidP="00B140BC"/>
          <w:p w:rsidR="00805137" w:rsidRDefault="005E3387" w:rsidP="00B140BC">
            <w:r>
              <w:t>The strategic problem here is that this</w:t>
            </w:r>
            <w:r w:rsidR="00AE5EE8">
              <w:t xml:space="preserve"> process </w:t>
            </w:r>
            <w:r w:rsidR="000E27A6">
              <w:t>would allow</w:t>
            </w:r>
            <w:r w:rsidR="00AE5EE8">
              <w:t xml:space="preserve"> CCGs to abdicate responsibility – for example they can avoid having to plan services based on need, and simply use past activity as a guide only then to ration services when they “go over budget”. Instead </w:t>
            </w:r>
            <w:r w:rsidR="00B23FF7">
              <w:t xml:space="preserve">the SC should </w:t>
            </w:r>
            <w:r w:rsidR="00A718B9">
              <w:t>require</w:t>
            </w:r>
            <w:r w:rsidR="00B23FF7">
              <w:t xml:space="preserve"> that </w:t>
            </w:r>
            <w:r w:rsidR="00AE5EE8">
              <w:t xml:space="preserve">CCGs should follow their legal duties, and plan services based on local needs and agree the best prices in order to meet need in a sustainable way, as well as delivering on other core commissioning duties – as per Section 26 of the Health and Social Care Act 2012. </w:t>
            </w:r>
          </w:p>
          <w:p w:rsidR="00B140BC" w:rsidRDefault="00B140BC" w:rsidP="00B140BC"/>
          <w:p w:rsidR="00375CFC" w:rsidRDefault="00375CFC" w:rsidP="00B140BC">
            <w:r>
              <w:t>The</w:t>
            </w:r>
            <w:r w:rsidR="005E3387">
              <w:t>se</w:t>
            </w:r>
            <w:r>
              <w:t xml:space="preserve"> suggested change</w:t>
            </w:r>
            <w:r w:rsidR="00841E40">
              <w:t>s lack</w:t>
            </w:r>
            <w:r>
              <w:t xml:space="preserve"> clinical or e</w:t>
            </w:r>
            <w:r w:rsidR="00841E40">
              <w:t>conomic credibility and require</w:t>
            </w:r>
            <w:r>
              <w:t xml:space="preserve"> more comp</w:t>
            </w:r>
            <w:r w:rsidR="005E3387">
              <w:t>rehensive engagement before being</w:t>
            </w:r>
            <w:r>
              <w:t xml:space="preserve"> implemented.  </w:t>
            </w:r>
          </w:p>
          <w:p w:rsidR="00B140BC" w:rsidRDefault="00B140BC" w:rsidP="00B140BC"/>
          <w:p w:rsidR="00B140BC" w:rsidRDefault="00B140BC" w:rsidP="00B140BC"/>
        </w:tc>
      </w:tr>
    </w:tbl>
    <w:p w:rsidR="008074C7" w:rsidRDefault="008074C7" w:rsidP="008074C7"/>
    <w:p w:rsidR="0054541E" w:rsidRDefault="0054541E" w:rsidP="008074C7"/>
    <w:p w:rsidR="002F657A" w:rsidRDefault="002F657A" w:rsidP="0054541E">
      <w:pPr>
        <w:rPr>
          <w:b/>
          <w:u w:val="single"/>
        </w:rPr>
      </w:pPr>
    </w:p>
    <w:p w:rsidR="00A079B4" w:rsidRDefault="00A079B4" w:rsidP="0054541E">
      <w:pPr>
        <w:rPr>
          <w:b/>
          <w:u w:val="single"/>
        </w:rPr>
      </w:pPr>
    </w:p>
    <w:p w:rsidR="00A079B4" w:rsidRDefault="00A079B4" w:rsidP="0054541E">
      <w:pPr>
        <w:rPr>
          <w:b/>
          <w:u w:val="single"/>
        </w:rPr>
      </w:pPr>
    </w:p>
    <w:p w:rsidR="0054541E" w:rsidRPr="00375CFC" w:rsidRDefault="0054541E" w:rsidP="008074C7">
      <w:pPr>
        <w:rPr>
          <w:b/>
          <w:u w:val="single"/>
        </w:rPr>
      </w:pPr>
      <w:r w:rsidRPr="0054541E">
        <w:rPr>
          <w:b/>
          <w:u w:val="single"/>
        </w:rPr>
        <w:t>SECTION TWO: FEEDBACK ON THE SHORTER-FORM CONTRACT</w:t>
      </w:r>
    </w:p>
    <w:tbl>
      <w:tblPr>
        <w:tblStyle w:val="TableGrid"/>
        <w:tblW w:w="9067" w:type="dxa"/>
        <w:tblLook w:val="04A0" w:firstRow="1" w:lastRow="0" w:firstColumn="1" w:lastColumn="0" w:noHBand="0" w:noVBand="1"/>
      </w:tblPr>
      <w:tblGrid>
        <w:gridCol w:w="1141"/>
        <w:gridCol w:w="3532"/>
        <w:gridCol w:w="4394"/>
      </w:tblGrid>
      <w:tr w:rsidR="0054541E" w:rsidRPr="008074C7" w:rsidTr="004452BB">
        <w:trPr>
          <w:tblHeader/>
        </w:trPr>
        <w:tc>
          <w:tcPr>
            <w:tcW w:w="1141" w:type="dxa"/>
          </w:tcPr>
          <w:p w:rsidR="0054541E" w:rsidRPr="008074C7" w:rsidRDefault="0054541E" w:rsidP="00750E79">
            <w:pPr>
              <w:rPr>
                <w:b/>
              </w:rPr>
            </w:pPr>
            <w:r w:rsidRPr="008074C7">
              <w:rPr>
                <w:b/>
              </w:rPr>
              <w:t xml:space="preserve">Contract Reference </w:t>
            </w:r>
          </w:p>
        </w:tc>
        <w:tc>
          <w:tcPr>
            <w:tcW w:w="3532" w:type="dxa"/>
          </w:tcPr>
          <w:p w:rsidR="0054541E" w:rsidRPr="008074C7" w:rsidRDefault="0054541E" w:rsidP="00750E79">
            <w:pPr>
              <w:rPr>
                <w:b/>
              </w:rPr>
            </w:pPr>
            <w:r>
              <w:rPr>
                <w:b/>
              </w:rPr>
              <w:t>Paragraph</w:t>
            </w:r>
          </w:p>
        </w:tc>
        <w:tc>
          <w:tcPr>
            <w:tcW w:w="4394" w:type="dxa"/>
          </w:tcPr>
          <w:p w:rsidR="0054541E" w:rsidRPr="008074C7" w:rsidRDefault="0054541E" w:rsidP="00750E79">
            <w:pPr>
              <w:rPr>
                <w:b/>
              </w:rPr>
            </w:pPr>
            <w:r w:rsidRPr="008074C7">
              <w:rPr>
                <w:b/>
              </w:rPr>
              <w:t xml:space="preserve">Comment </w:t>
            </w:r>
          </w:p>
        </w:tc>
      </w:tr>
      <w:tr w:rsidR="002F657A" w:rsidTr="00750E79">
        <w:tc>
          <w:tcPr>
            <w:tcW w:w="1141" w:type="dxa"/>
          </w:tcPr>
          <w:p w:rsidR="002F657A" w:rsidRDefault="002F657A" w:rsidP="00750E79">
            <w:r>
              <w:t xml:space="preserve">General Feedback </w:t>
            </w:r>
          </w:p>
        </w:tc>
        <w:tc>
          <w:tcPr>
            <w:tcW w:w="3532" w:type="dxa"/>
          </w:tcPr>
          <w:p w:rsidR="002F657A" w:rsidRDefault="00C84259" w:rsidP="0054541E">
            <w:r>
              <w:t xml:space="preserve">General reference to the National Tariff. </w:t>
            </w:r>
          </w:p>
          <w:p w:rsidR="00C84259" w:rsidRDefault="00C84259" w:rsidP="0054541E"/>
        </w:tc>
        <w:tc>
          <w:tcPr>
            <w:tcW w:w="4394" w:type="dxa"/>
          </w:tcPr>
          <w:p w:rsidR="00375CFC" w:rsidRDefault="00C84259" w:rsidP="00750E79">
            <w:r>
              <w:t xml:space="preserve">We support the shorter-form standard contract. </w:t>
            </w:r>
          </w:p>
          <w:p w:rsidR="00375CFC" w:rsidRDefault="00375CFC" w:rsidP="00750E79"/>
          <w:p w:rsidR="00C84259" w:rsidRDefault="00C84259" w:rsidP="00750E79">
            <w:r>
              <w:t>However we believe there is a risk of confusion about “National Tariffs”, “Mandated Tariffs”, “Non-</w:t>
            </w:r>
            <w:r w:rsidR="00375CFC">
              <w:t>Mandated T</w:t>
            </w:r>
            <w:r>
              <w:t xml:space="preserve">ariffs” and </w:t>
            </w:r>
            <w:r w:rsidR="00375CFC">
              <w:t>“</w:t>
            </w:r>
            <w:r>
              <w:t>pricing rules</w:t>
            </w:r>
            <w:r w:rsidR="00375CFC">
              <w:t>”</w:t>
            </w:r>
            <w:r>
              <w:t>.</w:t>
            </w:r>
          </w:p>
          <w:p w:rsidR="00C84259" w:rsidRDefault="00C84259" w:rsidP="00750E79"/>
          <w:p w:rsidR="00C84259" w:rsidRDefault="00C84259" w:rsidP="00750E79">
            <w:r>
              <w:t xml:space="preserve">NHS England and Monitor jointly produce pricing guidance. It would therefore be most odd if the Standard Contract in anyway led to CCGs </w:t>
            </w:r>
            <w:r w:rsidR="00375CFC">
              <w:t>not adhering to that</w:t>
            </w:r>
            <w:r>
              <w:t xml:space="preserve"> pricing guidance. </w:t>
            </w:r>
          </w:p>
          <w:p w:rsidR="00C84259" w:rsidRDefault="00C84259" w:rsidP="00750E79"/>
          <w:p w:rsidR="00375CFC" w:rsidRDefault="00375CFC" w:rsidP="00750E79">
            <w:r>
              <w:t>To help explain our concerns and offer a potential solution we think the following points are important:</w:t>
            </w:r>
          </w:p>
          <w:p w:rsidR="00375CFC" w:rsidRDefault="00375CFC" w:rsidP="00750E79"/>
          <w:p w:rsidR="00BA662B" w:rsidRDefault="00C84259" w:rsidP="00C84259">
            <w:r>
              <w:t xml:space="preserve">1 – we </w:t>
            </w:r>
            <w:r w:rsidR="00375CFC">
              <w:t xml:space="preserve">agree that there has to be an efficient way to avoid inappropriate use of the shorter-form contract. </w:t>
            </w:r>
            <w:r>
              <w:t xml:space="preserve">We also support that </w:t>
            </w:r>
            <w:r w:rsidR="00375CFC">
              <w:t xml:space="preserve">one </w:t>
            </w:r>
            <w:r>
              <w:t xml:space="preserve">way to do this is to exclude services with a “National Price”. </w:t>
            </w:r>
            <w:r w:rsidR="00375CFC">
              <w:t xml:space="preserve">But we recommend the use of different wording and to replace </w:t>
            </w:r>
            <w:r w:rsidR="00E14478">
              <w:t xml:space="preserve">“a </w:t>
            </w:r>
            <w:r w:rsidR="00375CFC">
              <w:t>National Price</w:t>
            </w:r>
            <w:r w:rsidR="00E14478">
              <w:t>”</w:t>
            </w:r>
            <w:r w:rsidR="00375CFC">
              <w:t xml:space="preserve"> with </w:t>
            </w:r>
            <w:r>
              <w:t>“</w:t>
            </w:r>
            <w:r w:rsidR="00E14478">
              <w:t xml:space="preserve">a </w:t>
            </w:r>
            <w:r>
              <w:t xml:space="preserve">Mandated National Price”. This is because </w:t>
            </w:r>
            <w:r w:rsidR="0077155D">
              <w:t xml:space="preserve">that </w:t>
            </w:r>
            <w:r>
              <w:t xml:space="preserve">in the price book that Monitor produces there are sometimes non-mandated national prices, which do not </w:t>
            </w:r>
            <w:r>
              <w:lastRenderedPageBreak/>
              <w:t>ha</w:t>
            </w:r>
            <w:r w:rsidR="00E14478">
              <w:t>ve the same legal framework as</w:t>
            </w:r>
            <w:r>
              <w:t xml:space="preserve"> mandated national prices</w:t>
            </w:r>
            <w:r w:rsidR="00E14478">
              <w:t xml:space="preserve">.  This should achieve the objectives of avoiding the inappropriate use of the shorter-form contract and help maximise the use of the shorter-form contract. </w:t>
            </w:r>
          </w:p>
          <w:p w:rsidR="00E14478" w:rsidRDefault="00E14478" w:rsidP="00C84259"/>
          <w:p w:rsidR="00C84259" w:rsidRDefault="00C84259" w:rsidP="00C84259">
            <w:r>
              <w:t>2- whilst the shorter-form contract is possible because many of the complexities associated with “Mandated National Prices” are omitted</w:t>
            </w:r>
            <w:r w:rsidR="00E14478">
              <w:t xml:space="preserve">, it is important for </w:t>
            </w:r>
            <w:r>
              <w:t xml:space="preserve">CCGs </w:t>
            </w:r>
            <w:r w:rsidR="00E14478">
              <w:t>to</w:t>
            </w:r>
            <w:r>
              <w:t xml:space="preserve"> understand that there are rules for setting local prices and these are produced by NHS England and Monitor</w:t>
            </w:r>
            <w:r w:rsidR="00E14478">
              <w:t>. These are local pricing rules, when CCGs do not adhere to these then enforcement action by Monitor is possible.  Without this understanding CCGs might risk simply using the shorter-form contract to drive down price so that quality is reduced which in turn makes services less cost-effective and breaches commissioning duties (Section 26 Health and Social Care Act 2012)</w:t>
            </w:r>
            <w:r w:rsidR="00886707">
              <w:t>.</w:t>
            </w:r>
          </w:p>
          <w:p w:rsidR="0077155D" w:rsidRDefault="0077155D" w:rsidP="00C84259"/>
        </w:tc>
      </w:tr>
      <w:tr w:rsidR="0054541E" w:rsidTr="00750E79">
        <w:tc>
          <w:tcPr>
            <w:tcW w:w="1141" w:type="dxa"/>
          </w:tcPr>
          <w:p w:rsidR="0054541E" w:rsidRDefault="0054541E" w:rsidP="00750E79">
            <w:r>
              <w:lastRenderedPageBreak/>
              <w:t>GC5</w:t>
            </w:r>
          </w:p>
        </w:tc>
        <w:tc>
          <w:tcPr>
            <w:tcW w:w="3532" w:type="dxa"/>
          </w:tcPr>
          <w:p w:rsidR="0054541E" w:rsidRDefault="0054541E" w:rsidP="0054541E">
            <w:r>
              <w:t>5.7 – The Provider must nominate a Freedom To Speak Up Guardian. The Provider must have in place and promote (and must ensure that all Sub-Contractors have in place and promote) a code and effective procedures to ensure that Staff have appropriate means through which they may raise any concerns they may have in relation to the Services. The Provider must ensure that nothing in any contract of employment or contract for services or any other agreement entered into by it or any Sub-Contractor with any member of Staff will prevent or inhibit, or purport to prevent or inhibit, the making of any protected disclosure (as defined in the Public Interest Disclosure Act 1998) by that member of Staff nor affect the rights of that member of Staff under that Act.</w:t>
            </w:r>
          </w:p>
          <w:p w:rsidR="002926F3" w:rsidRDefault="002926F3" w:rsidP="0054541E"/>
        </w:tc>
        <w:tc>
          <w:tcPr>
            <w:tcW w:w="4394" w:type="dxa"/>
          </w:tcPr>
          <w:p w:rsidR="00422ECC" w:rsidRPr="00D231F0" w:rsidRDefault="00422ECC" w:rsidP="00422ECC">
            <w:r w:rsidRPr="00D231F0">
              <w:t xml:space="preserve">We support the principle. </w:t>
            </w:r>
            <w:r>
              <w:t xml:space="preserve">However </w:t>
            </w:r>
            <w:r w:rsidRPr="00D231F0">
              <w:t xml:space="preserve">for a smaller provider </w:t>
            </w:r>
            <w:r>
              <w:t xml:space="preserve">a single person is likely to be </w:t>
            </w:r>
            <w:r w:rsidRPr="00D231F0">
              <w:t xml:space="preserve">nominated </w:t>
            </w:r>
            <w:r>
              <w:t>as</w:t>
            </w:r>
            <w:r w:rsidRPr="00D231F0">
              <w:t xml:space="preserve"> </w:t>
            </w:r>
            <w:r>
              <w:t>the Freedom to Speak Up Guardian, the named lead for</w:t>
            </w:r>
            <w:r w:rsidRPr="00D231F0">
              <w:t xml:space="preserve"> Prevent and Safeguarding etc.</w:t>
            </w:r>
          </w:p>
          <w:p w:rsidR="0054541E" w:rsidRDefault="0054541E" w:rsidP="00750E79"/>
          <w:p w:rsidR="0054541E" w:rsidRDefault="0054541E" w:rsidP="00750E79"/>
        </w:tc>
      </w:tr>
      <w:tr w:rsidR="00FF2148" w:rsidTr="00750E79">
        <w:tc>
          <w:tcPr>
            <w:tcW w:w="1141" w:type="dxa"/>
          </w:tcPr>
          <w:p w:rsidR="00FF2148" w:rsidRDefault="00FF2148" w:rsidP="00FF2148">
            <w:r>
              <w:t xml:space="preserve">G27 </w:t>
            </w:r>
          </w:p>
        </w:tc>
        <w:tc>
          <w:tcPr>
            <w:tcW w:w="3532" w:type="dxa"/>
          </w:tcPr>
          <w:p w:rsidR="00FF2148" w:rsidRDefault="00FF2148" w:rsidP="00FF2148">
            <w:r>
              <w:t>All – Conflicts of Interest and Transparency on Gifts and Hospitality</w:t>
            </w:r>
            <w:r w:rsidR="002926F3">
              <w:t>.</w:t>
            </w:r>
          </w:p>
        </w:tc>
        <w:tc>
          <w:tcPr>
            <w:tcW w:w="4394" w:type="dxa"/>
          </w:tcPr>
          <w:p w:rsidR="001B10D1" w:rsidRDefault="00FF2148" w:rsidP="001B10D1">
            <w:r>
              <w:t xml:space="preserve">We support this new condition. However small providers might not have a website. </w:t>
            </w:r>
            <w:r w:rsidR="001B10D1">
              <w:t xml:space="preserve"> </w:t>
            </w:r>
            <w:r>
              <w:t xml:space="preserve">Alternative methods of maintaining a register </w:t>
            </w:r>
            <w:r>
              <w:lastRenderedPageBreak/>
              <w:t xml:space="preserve">for small providers should be included. </w:t>
            </w:r>
            <w:r w:rsidR="001B10D1">
              <w:t xml:space="preserve">For example keeping a local log and submitting this at contract review meetings. </w:t>
            </w:r>
          </w:p>
          <w:p w:rsidR="00F30F67" w:rsidRDefault="00F30F67" w:rsidP="001B10D1"/>
        </w:tc>
      </w:tr>
      <w:tr w:rsidR="0054541E" w:rsidTr="00750E79">
        <w:tc>
          <w:tcPr>
            <w:tcW w:w="1141" w:type="dxa"/>
          </w:tcPr>
          <w:p w:rsidR="0054541E" w:rsidRDefault="005200FD" w:rsidP="00750E79">
            <w:r>
              <w:lastRenderedPageBreak/>
              <w:t>SC8</w:t>
            </w:r>
          </w:p>
        </w:tc>
        <w:tc>
          <w:tcPr>
            <w:tcW w:w="3532" w:type="dxa"/>
          </w:tcPr>
          <w:p w:rsidR="0054541E" w:rsidRDefault="005200FD" w:rsidP="00750E79">
            <w:r>
              <w:t xml:space="preserve">8.1 – </w:t>
            </w:r>
          </w:p>
          <w:p w:rsidR="005200FD" w:rsidRDefault="005200FD" w:rsidP="00750E79">
            <w:r>
              <w:t>The Provider must develop and maintain an organisational plan to ensure that Staff use every contact that they have with Service Users and the public as an opportunity to maintain or improve health and wellbeing, in accordance with the principles and using the tools comprised in Making Every Contact Count Guidance.</w:t>
            </w:r>
          </w:p>
        </w:tc>
        <w:tc>
          <w:tcPr>
            <w:tcW w:w="4394" w:type="dxa"/>
          </w:tcPr>
          <w:p w:rsidR="00895012" w:rsidRDefault="00895012" w:rsidP="00895012">
            <w:r>
              <w:t>We support Make Every Contact Count (</w:t>
            </w:r>
            <w:hyperlink r:id="rId10" w:history="1">
              <w:r w:rsidRPr="005200FD">
                <w:rPr>
                  <w:rStyle w:val="Hyperlink"/>
                </w:rPr>
                <w:t>MECC) guidance</w:t>
              </w:r>
            </w:hyperlink>
            <w:r>
              <w:t xml:space="preserve">. </w:t>
            </w:r>
          </w:p>
          <w:p w:rsidR="00895012" w:rsidRDefault="00895012" w:rsidP="00895012"/>
          <w:p w:rsidR="00895012" w:rsidRDefault="00895012" w:rsidP="00895012">
            <w:r>
              <w:t xml:space="preserve">It is important however that CCGs understand – e.g. through the supporting technical guidance – that ensuring sensory and other core needs are met is a part of the MECC approach.  </w:t>
            </w:r>
          </w:p>
          <w:p w:rsidR="00895012" w:rsidRDefault="00895012" w:rsidP="00895012"/>
          <w:p w:rsidR="00895012" w:rsidRDefault="00895012" w:rsidP="00895012">
            <w:r>
              <w:t xml:space="preserve">MECC, because of unmet need, is therefore likely to increase cost when providers meet this duty (SC8). </w:t>
            </w:r>
          </w:p>
          <w:p w:rsidR="00895012" w:rsidRDefault="00895012" w:rsidP="00895012"/>
          <w:p w:rsidR="004620B1" w:rsidRDefault="00895012" w:rsidP="001B10D1">
            <w:r>
              <w:t>Our experience with CCGs is that they are inclined to ignore the Standard Contract, the NHS Mandate and policy objectives set by NHS England. If NHS England is not going to enforce/support MEEC guidance we don’t think it should be included in the SC8.</w:t>
            </w:r>
          </w:p>
          <w:p w:rsidR="00805137" w:rsidRDefault="00805137" w:rsidP="001B10D1"/>
        </w:tc>
      </w:tr>
      <w:tr w:rsidR="00EE4705" w:rsidTr="00750E79">
        <w:tc>
          <w:tcPr>
            <w:tcW w:w="1141" w:type="dxa"/>
          </w:tcPr>
          <w:p w:rsidR="00EE4705" w:rsidRDefault="00EE4705" w:rsidP="00EE4705">
            <w:r>
              <w:t>SC36</w:t>
            </w:r>
          </w:p>
        </w:tc>
        <w:tc>
          <w:tcPr>
            <w:tcW w:w="3532" w:type="dxa"/>
          </w:tcPr>
          <w:p w:rsidR="00EE4705" w:rsidRDefault="00EE4705" w:rsidP="00EE4705">
            <w:r>
              <w:t>The consultation response notes</w:t>
            </w:r>
          </w:p>
          <w:p w:rsidR="00EE4705" w:rsidRDefault="00EE4705" w:rsidP="00EE4705">
            <w:pPr>
              <w:rPr>
                <w:i/>
              </w:rPr>
            </w:pPr>
            <w:r w:rsidRPr="00817E41">
              <w:rPr>
                <w:i/>
              </w:rPr>
              <w:t>“We have introduced a new requirement on commissioners and providers to use the new national electronic invoicing system, Tradeshift.”</w:t>
            </w:r>
          </w:p>
          <w:p w:rsidR="00EE4705" w:rsidRDefault="00EE4705" w:rsidP="00EE4705">
            <w:pPr>
              <w:rPr>
                <w:i/>
              </w:rPr>
            </w:pPr>
          </w:p>
          <w:p w:rsidR="00EE4705" w:rsidRDefault="00EE4705" w:rsidP="00EE4705">
            <w:r>
              <w:t xml:space="preserve">But this Tradeshift is not included in SC36.  Paragraph 36.28 only states </w:t>
            </w:r>
          </w:p>
          <w:p w:rsidR="00EE4705" w:rsidRDefault="00EE4705" w:rsidP="00EE4705"/>
          <w:p w:rsidR="00EE4705" w:rsidRPr="00817E41" w:rsidRDefault="00EE4705" w:rsidP="00EE4705">
            <w:r>
              <w:t>“</w:t>
            </w:r>
            <w:r w:rsidRPr="00231FAF">
              <w:rPr>
                <w:i/>
              </w:rPr>
              <w:t>The Provider must use all reasonable endeavours to submit all invoices via the e-Invoicing Platform in accordance with e-Invoicing Guidance</w:t>
            </w:r>
            <w:r>
              <w:t>.”</w:t>
            </w:r>
          </w:p>
        </w:tc>
        <w:tc>
          <w:tcPr>
            <w:tcW w:w="4394" w:type="dxa"/>
          </w:tcPr>
          <w:p w:rsidR="007715E3" w:rsidRDefault="007715E3" w:rsidP="007715E3">
            <w:r>
              <w:t xml:space="preserve">Trying to switch all providers onto Tradeshift in 2016/17 will not be possible.  </w:t>
            </w:r>
          </w:p>
          <w:p w:rsidR="007715E3" w:rsidRDefault="007715E3" w:rsidP="007715E3"/>
          <w:p w:rsidR="007715E3" w:rsidRDefault="007715E3" w:rsidP="007715E3">
            <w:r>
              <w:t xml:space="preserve">NHS SBS notes on its website – </w:t>
            </w:r>
            <w:hyperlink r:id="rId11" w:history="1">
              <w:r w:rsidRPr="003C298C">
                <w:rPr>
                  <w:rStyle w:val="Hyperlink"/>
                </w:rPr>
                <w:t xml:space="preserve">as of 14 March 2016 </w:t>
              </w:r>
            </w:hyperlink>
            <w:r>
              <w:t xml:space="preserve">- that it is currently in the process of transferring its NHS clients onto this platform. It is unclear whether the platform can cope with a surge in usage. In which case, delayed payments and extra paper work generated would come at a significant cost. </w:t>
            </w:r>
          </w:p>
          <w:p w:rsidR="007715E3" w:rsidRDefault="007715E3" w:rsidP="007715E3"/>
          <w:p w:rsidR="007715E3" w:rsidRDefault="007715E3" w:rsidP="007715E3">
            <w:r>
              <w:t>We therefore support the current wording in SC36. 34.49. We would not support requiring providers to use Tradeshift in 2016/17.</w:t>
            </w:r>
          </w:p>
          <w:p w:rsidR="007715E3" w:rsidRDefault="007715E3" w:rsidP="007715E3"/>
          <w:p w:rsidR="007715E3" w:rsidRDefault="007715E3" w:rsidP="007715E3">
            <w:r w:rsidRPr="005F457E">
              <w:t>Once the system has proven it is capable of handling the volumes likely to take place in the NHS it could potentially be the recommended platform from 2017/18.</w:t>
            </w:r>
          </w:p>
          <w:p w:rsidR="000A421D" w:rsidRDefault="000A421D" w:rsidP="007715E3"/>
        </w:tc>
      </w:tr>
    </w:tbl>
    <w:p w:rsidR="0054541E" w:rsidRPr="008074C7" w:rsidRDefault="0054541E" w:rsidP="008074C7"/>
    <w:sectPr w:rsidR="0054541E" w:rsidRPr="008074C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090" w:rsidRDefault="00AC4090" w:rsidP="0054541E">
      <w:pPr>
        <w:spacing w:after="0" w:line="240" w:lineRule="auto"/>
      </w:pPr>
      <w:r>
        <w:separator/>
      </w:r>
    </w:p>
  </w:endnote>
  <w:endnote w:type="continuationSeparator" w:id="0">
    <w:p w:rsidR="00AC4090" w:rsidRDefault="00AC4090" w:rsidP="00545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6061287"/>
      <w:docPartObj>
        <w:docPartGallery w:val="Page Numbers (Bottom of Page)"/>
        <w:docPartUnique/>
      </w:docPartObj>
    </w:sdtPr>
    <w:sdtEndPr>
      <w:rPr>
        <w:noProof/>
      </w:rPr>
    </w:sdtEndPr>
    <w:sdtContent>
      <w:p w:rsidR="0054541E" w:rsidRDefault="0054541E">
        <w:pPr>
          <w:pStyle w:val="Footer"/>
          <w:jc w:val="right"/>
        </w:pPr>
        <w:r>
          <w:fldChar w:fldCharType="begin"/>
        </w:r>
        <w:r>
          <w:instrText xml:space="preserve"> PAGE   \* MERGEFORMAT </w:instrText>
        </w:r>
        <w:r>
          <w:fldChar w:fldCharType="separate"/>
        </w:r>
        <w:r w:rsidR="002514DB">
          <w:rPr>
            <w:noProof/>
          </w:rPr>
          <w:t>1</w:t>
        </w:r>
        <w:r>
          <w:rPr>
            <w:noProof/>
          </w:rPr>
          <w:fldChar w:fldCharType="end"/>
        </w:r>
      </w:p>
    </w:sdtContent>
  </w:sdt>
  <w:p w:rsidR="0054541E" w:rsidRDefault="005454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090" w:rsidRDefault="00AC4090" w:rsidP="0054541E">
      <w:pPr>
        <w:spacing w:after="0" w:line="240" w:lineRule="auto"/>
      </w:pPr>
      <w:r>
        <w:separator/>
      </w:r>
    </w:p>
  </w:footnote>
  <w:footnote w:type="continuationSeparator" w:id="0">
    <w:p w:rsidR="00AC4090" w:rsidRDefault="00AC4090" w:rsidP="005454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84DCF"/>
    <w:multiLevelType w:val="hybridMultilevel"/>
    <w:tmpl w:val="289441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2B4B42"/>
    <w:multiLevelType w:val="hybridMultilevel"/>
    <w:tmpl w:val="EA964178"/>
    <w:lvl w:ilvl="0" w:tplc="9C587DA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13DC8"/>
    <w:multiLevelType w:val="hybridMultilevel"/>
    <w:tmpl w:val="12CEC644"/>
    <w:lvl w:ilvl="0" w:tplc="C2C8EA38">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E8D22E0"/>
    <w:multiLevelType w:val="hybridMultilevel"/>
    <w:tmpl w:val="5900C9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2AA293C"/>
    <w:multiLevelType w:val="hybridMultilevel"/>
    <w:tmpl w:val="5E8209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9C9"/>
    <w:rsid w:val="00002F6B"/>
    <w:rsid w:val="00013B62"/>
    <w:rsid w:val="00067656"/>
    <w:rsid w:val="00086DBE"/>
    <w:rsid w:val="000A3D4A"/>
    <w:rsid w:val="000A421D"/>
    <w:rsid w:val="000D3347"/>
    <w:rsid w:val="000E27A6"/>
    <w:rsid w:val="000E68A0"/>
    <w:rsid w:val="000F145A"/>
    <w:rsid w:val="000F683B"/>
    <w:rsid w:val="00155B40"/>
    <w:rsid w:val="0017104D"/>
    <w:rsid w:val="001762AD"/>
    <w:rsid w:val="0018676E"/>
    <w:rsid w:val="001A2209"/>
    <w:rsid w:val="001B10D1"/>
    <w:rsid w:val="001C5A3D"/>
    <w:rsid w:val="002050DF"/>
    <w:rsid w:val="00231FAF"/>
    <w:rsid w:val="002502B3"/>
    <w:rsid w:val="002514DB"/>
    <w:rsid w:val="00280294"/>
    <w:rsid w:val="0028043C"/>
    <w:rsid w:val="002926F3"/>
    <w:rsid w:val="002A3367"/>
    <w:rsid w:val="002B6002"/>
    <w:rsid w:val="002D69AF"/>
    <w:rsid w:val="002F657A"/>
    <w:rsid w:val="00315DEA"/>
    <w:rsid w:val="00375CFC"/>
    <w:rsid w:val="00387E1D"/>
    <w:rsid w:val="003A0CE8"/>
    <w:rsid w:val="003C298C"/>
    <w:rsid w:val="003C77A6"/>
    <w:rsid w:val="003F7875"/>
    <w:rsid w:val="004049C9"/>
    <w:rsid w:val="00422ECC"/>
    <w:rsid w:val="004452BB"/>
    <w:rsid w:val="004620B1"/>
    <w:rsid w:val="004D14A9"/>
    <w:rsid w:val="005200FD"/>
    <w:rsid w:val="00537FB3"/>
    <w:rsid w:val="0054541E"/>
    <w:rsid w:val="005722F2"/>
    <w:rsid w:val="0058598C"/>
    <w:rsid w:val="0059773B"/>
    <w:rsid w:val="005C6944"/>
    <w:rsid w:val="005E3387"/>
    <w:rsid w:val="005F457E"/>
    <w:rsid w:val="00616B9E"/>
    <w:rsid w:val="00634F1B"/>
    <w:rsid w:val="00657E33"/>
    <w:rsid w:val="006D1622"/>
    <w:rsid w:val="006E3166"/>
    <w:rsid w:val="00737607"/>
    <w:rsid w:val="0074397E"/>
    <w:rsid w:val="00744608"/>
    <w:rsid w:val="0077155D"/>
    <w:rsid w:val="007715E3"/>
    <w:rsid w:val="00781720"/>
    <w:rsid w:val="007900EE"/>
    <w:rsid w:val="00795761"/>
    <w:rsid w:val="007E46CB"/>
    <w:rsid w:val="00805137"/>
    <w:rsid w:val="008074C7"/>
    <w:rsid w:val="00817E41"/>
    <w:rsid w:val="00841E40"/>
    <w:rsid w:val="008709AC"/>
    <w:rsid w:val="00886707"/>
    <w:rsid w:val="00895012"/>
    <w:rsid w:val="00904A82"/>
    <w:rsid w:val="00917E13"/>
    <w:rsid w:val="009310D2"/>
    <w:rsid w:val="009C3555"/>
    <w:rsid w:val="009D52EA"/>
    <w:rsid w:val="009D5676"/>
    <w:rsid w:val="00A079B4"/>
    <w:rsid w:val="00A718B9"/>
    <w:rsid w:val="00A82E39"/>
    <w:rsid w:val="00AC4090"/>
    <w:rsid w:val="00AE5EE8"/>
    <w:rsid w:val="00B140BC"/>
    <w:rsid w:val="00B14272"/>
    <w:rsid w:val="00B16437"/>
    <w:rsid w:val="00B23FF7"/>
    <w:rsid w:val="00B2753B"/>
    <w:rsid w:val="00B32C08"/>
    <w:rsid w:val="00B519C9"/>
    <w:rsid w:val="00B6364C"/>
    <w:rsid w:val="00B66C15"/>
    <w:rsid w:val="00B80350"/>
    <w:rsid w:val="00B85E67"/>
    <w:rsid w:val="00B87247"/>
    <w:rsid w:val="00BA662B"/>
    <w:rsid w:val="00BB68A0"/>
    <w:rsid w:val="00BB6E1F"/>
    <w:rsid w:val="00BF128C"/>
    <w:rsid w:val="00C04194"/>
    <w:rsid w:val="00C10C68"/>
    <w:rsid w:val="00C141C0"/>
    <w:rsid w:val="00C5683C"/>
    <w:rsid w:val="00C60F29"/>
    <w:rsid w:val="00C84259"/>
    <w:rsid w:val="00CB2BCB"/>
    <w:rsid w:val="00CB378A"/>
    <w:rsid w:val="00CD157B"/>
    <w:rsid w:val="00D1102C"/>
    <w:rsid w:val="00D231F0"/>
    <w:rsid w:val="00D8588E"/>
    <w:rsid w:val="00D9096C"/>
    <w:rsid w:val="00DD3AC7"/>
    <w:rsid w:val="00DE4DCA"/>
    <w:rsid w:val="00DF2D59"/>
    <w:rsid w:val="00E14478"/>
    <w:rsid w:val="00E15502"/>
    <w:rsid w:val="00E6188A"/>
    <w:rsid w:val="00E97B0E"/>
    <w:rsid w:val="00EB0C40"/>
    <w:rsid w:val="00EE4705"/>
    <w:rsid w:val="00F1542C"/>
    <w:rsid w:val="00F26D5C"/>
    <w:rsid w:val="00F30F67"/>
    <w:rsid w:val="00F37308"/>
    <w:rsid w:val="00F712FE"/>
    <w:rsid w:val="00F741F9"/>
    <w:rsid w:val="00F84336"/>
    <w:rsid w:val="00F85CC3"/>
    <w:rsid w:val="00F9432B"/>
    <w:rsid w:val="00FD0349"/>
    <w:rsid w:val="00FE0A8E"/>
    <w:rsid w:val="00FF2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28961-1FBD-444D-8308-4F0A8A40E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308"/>
    <w:pPr>
      <w:ind w:left="720"/>
      <w:contextualSpacing/>
    </w:pPr>
  </w:style>
  <w:style w:type="table" w:styleId="TableGrid">
    <w:name w:val="Table Grid"/>
    <w:basedOn w:val="TableNormal"/>
    <w:uiPriority w:val="39"/>
    <w:rsid w:val="00807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5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41E"/>
  </w:style>
  <w:style w:type="paragraph" w:styleId="Footer">
    <w:name w:val="footer"/>
    <w:basedOn w:val="Normal"/>
    <w:link w:val="FooterChar"/>
    <w:uiPriority w:val="99"/>
    <w:unhideWhenUsed/>
    <w:rsid w:val="00545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41E"/>
  </w:style>
  <w:style w:type="character" w:styleId="Hyperlink">
    <w:name w:val="Hyperlink"/>
    <w:basedOn w:val="DefaultParagraphFont"/>
    <w:uiPriority w:val="99"/>
    <w:unhideWhenUsed/>
    <w:rsid w:val="005200FD"/>
    <w:rPr>
      <w:color w:val="0563C1" w:themeColor="hyperlink"/>
      <w:u w:val="single"/>
    </w:rPr>
  </w:style>
  <w:style w:type="paragraph" w:styleId="BalloonText">
    <w:name w:val="Balloon Text"/>
    <w:basedOn w:val="Normal"/>
    <w:link w:val="BalloonTextChar"/>
    <w:uiPriority w:val="99"/>
    <w:semiHidden/>
    <w:unhideWhenUsed/>
    <w:rsid w:val="002502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2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wp-content/uploads/2014/06/mecc-guid-bookle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radeshift.com/supplier/nhs-sbs/" TargetMode="External"/><Relationship Id="rId5" Type="http://schemas.openxmlformats.org/officeDocument/2006/relationships/footnotes" Target="footnotes.xml"/><Relationship Id="rId10" Type="http://schemas.openxmlformats.org/officeDocument/2006/relationships/hyperlink" Target="https://www.england.nhs.uk/wp-content/uploads/2014/06/mecc-guid-booklet.pdf" TargetMode="External"/><Relationship Id="rId4" Type="http://schemas.openxmlformats.org/officeDocument/2006/relationships/webSettings" Target="webSettings.xml"/><Relationship Id="rId9" Type="http://schemas.openxmlformats.org/officeDocument/2006/relationships/hyperlink" Target="http://tradeshift.com/supplier/nhs-sb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Company/>
  <Lines>92</Lines>
  <LinksUpToDate>false</LinksUpToDate>
  <Paragraphs>26</Paragraphs>
  <ScaleCrop>false</ScaleCrop>
  <CharactersWithSpaces>13031</CharactersWithSpaces>
  <SharedDoc>false</SharedDoc>
  <HyperlinksChanged>false</HyperlinksChanged>
  <AppVersion>15.0000</AppVersion>
  <Characters>11109</Characters>
  <Pages>6</Pages>
  <DocSecurity>0</DocSecurity>
  <Words>1948</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2016-03-21T11:49:00Z</dcterms:modified>
  <dc:description/>
  <cp:keywords/>
  <dc:subject/>
  <dc:title/>
  <cp:lastPrinted>2016-03-15T09:55:00Z</cp:lastPrinted>
  <cp:lastModifiedBy>Jakob Stenkvist</cp:lastModifiedBy>
  <dcterms:created xsi:type="dcterms:W3CDTF">2016-03-21T11:49:00Z</dcterms:created>
  <cp:revision>2</cp:revision>
</cp:coreProperties>
</file>