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694" w:rsidRDefault="00BE6694" w:rsidP="00F25942">
      <w:pPr>
        <w:jc w:val="center"/>
      </w:pPr>
      <w:bookmarkStart w:id="0" w:name="_GoBack"/>
      <w:bookmarkEnd w:id="0"/>
      <w:r w:rsidRPr="00841CBD">
        <w:rPr>
          <w:rFonts w:cs="Arial"/>
          <w:noProof/>
          <w:lang w:eastAsia="en-GB"/>
        </w:rPr>
        <w:drawing>
          <wp:inline distT="0" distB="0" distL="0" distR="0" wp14:anchorId="0DAB1635" wp14:editId="777FAE0A">
            <wp:extent cx="1228298" cy="652534"/>
            <wp:effectExtent l="0" t="0" r="0" b="0"/>
            <wp:docPr id="5" name="Picture 5" descr="C:\Users\harjit.FODO\AppData\Local\Microsoft\Windows\Temporary Internet Files\Content.Outlook\CYWP0IJE\NCHA_logo_stack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99720" name="Picture 1" descr="C:\Users\harjit.FODO\AppData\Local\Microsoft\Windows\Temporary Internet Files\Content.Outlook\CYWP0IJE\NCHA_logo_stacked_RGB.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88085" cy="684296"/>
                    </a:xfrm>
                    <a:prstGeom prst="rect">
                      <a:avLst/>
                    </a:prstGeom>
                    <a:noFill/>
                    <a:ln>
                      <a:noFill/>
                    </a:ln>
                  </pic:spPr>
                </pic:pic>
              </a:graphicData>
            </a:graphic>
          </wp:inline>
        </w:drawing>
      </w:r>
    </w:p>
    <w:p w:rsidR="00F25942" w:rsidRPr="00B01491" w:rsidRDefault="00F25942" w:rsidP="00F25942">
      <w:pPr>
        <w:jc w:val="center"/>
        <w:rPr>
          <w:sz w:val="10"/>
        </w:rPr>
      </w:pPr>
    </w:p>
    <w:p w:rsidR="00BE6694" w:rsidRPr="00BE6694" w:rsidRDefault="00BE6694" w:rsidP="00BE6694">
      <w:pPr>
        <w:jc w:val="center"/>
        <w:rPr>
          <w:b/>
        </w:rPr>
      </w:pPr>
      <w:r w:rsidRPr="00BE6694">
        <w:rPr>
          <w:b/>
        </w:rPr>
        <w:t>SUPPORTING RESEARCH IN THE NHS</w:t>
      </w:r>
    </w:p>
    <w:p w:rsidR="00BE6694" w:rsidRDefault="00BE6694" w:rsidP="00BE6694">
      <w:pPr>
        <w:pStyle w:val="ListParagraph"/>
        <w:numPr>
          <w:ilvl w:val="0"/>
          <w:numId w:val="2"/>
        </w:numPr>
        <w:spacing w:before="240" w:after="240" w:line="240" w:lineRule="auto"/>
        <w:ind w:left="142" w:hanging="426"/>
        <w:rPr>
          <w:rFonts w:cs="Arial"/>
        </w:rPr>
      </w:pPr>
      <w:r w:rsidRPr="00841CBD">
        <w:rPr>
          <w:rFonts w:cs="Arial"/>
        </w:rPr>
        <w:t xml:space="preserve">The National Community Hearing Association represents community hearing care providers in </w:t>
      </w:r>
      <w:r w:rsidR="00526FFA">
        <w:rPr>
          <w:rFonts w:cs="Arial"/>
        </w:rPr>
        <w:t>England</w:t>
      </w:r>
      <w:r w:rsidRPr="00841CBD">
        <w:rPr>
          <w:rFonts w:cs="Arial"/>
        </w:rPr>
        <w:t xml:space="preserve">. NCHA members are committed to good hearing for all and have an excellent record of outcome, safety and patient satisfaction. </w:t>
      </w:r>
    </w:p>
    <w:p w:rsidR="00BE6694" w:rsidRDefault="00BE6694" w:rsidP="007D4B96">
      <w:pPr>
        <w:spacing w:before="240" w:after="240" w:line="240" w:lineRule="auto"/>
        <w:ind w:left="-284"/>
        <w:rPr>
          <w:rFonts w:cs="Arial"/>
          <w:b/>
        </w:rPr>
      </w:pPr>
      <w:r>
        <w:rPr>
          <w:rFonts w:cs="Arial"/>
          <w:b/>
        </w:rPr>
        <w:t>Our response</w:t>
      </w:r>
      <w:r w:rsidRPr="004D60CE">
        <w:rPr>
          <w:rFonts w:cs="Arial"/>
          <w:b/>
        </w:rPr>
        <w:t xml:space="preserve"> </w:t>
      </w:r>
    </w:p>
    <w:p w:rsidR="00D554C5" w:rsidRDefault="00280EEE" w:rsidP="008D369E">
      <w:pPr>
        <w:pStyle w:val="ListParagraph"/>
        <w:numPr>
          <w:ilvl w:val="0"/>
          <w:numId w:val="2"/>
        </w:numPr>
        <w:spacing w:before="240" w:after="240" w:line="240" w:lineRule="auto"/>
        <w:ind w:left="142"/>
      </w:pPr>
      <w:r>
        <w:t>We agree that t</w:t>
      </w:r>
      <w:r w:rsidR="007F66B6">
        <w:t>he NHS should continue</w:t>
      </w:r>
      <w:r w:rsidR="006C128A">
        <w:t xml:space="preserve"> </w:t>
      </w:r>
      <w:r w:rsidR="007F66B6">
        <w:t xml:space="preserve">to invest in research and scientific development. The NHS, given the heterogeneous population it </w:t>
      </w:r>
      <w:r w:rsidR="00111E2E">
        <w:t>serves, has great potential to advance its positio</w:t>
      </w:r>
      <w:r>
        <w:t xml:space="preserve">n as a world leader in </w:t>
      </w:r>
      <w:r w:rsidR="00111E2E">
        <w:t>research.</w:t>
      </w:r>
      <w:r w:rsidR="00753D57">
        <w:t xml:space="preserve"> </w:t>
      </w:r>
      <w:r>
        <w:t>We therefore welcome this timely consultation and the collaborative approach taken by NHS England, NHIR and the HRA.</w:t>
      </w:r>
    </w:p>
    <w:p w:rsidR="00D554C5" w:rsidRDefault="00D554C5" w:rsidP="00D554C5">
      <w:pPr>
        <w:pStyle w:val="ListParagraph"/>
        <w:spacing w:before="240" w:after="240" w:line="240" w:lineRule="auto"/>
        <w:ind w:left="142"/>
      </w:pPr>
    </w:p>
    <w:p w:rsidR="008D369E" w:rsidRDefault="00035B63" w:rsidP="00D554C5">
      <w:pPr>
        <w:pStyle w:val="ListParagraph"/>
        <w:numPr>
          <w:ilvl w:val="0"/>
          <w:numId w:val="2"/>
        </w:numPr>
        <w:spacing w:before="240" w:after="240" w:line="240" w:lineRule="auto"/>
        <w:ind w:left="142"/>
      </w:pPr>
      <w:r>
        <w:t>We agree that r</w:t>
      </w:r>
      <w:r w:rsidR="008D369E">
        <w:t xml:space="preserve">educing unnecessary duplication and variation in the research process across England is likely to make multi-centre trials more feasible. </w:t>
      </w:r>
      <w:r w:rsidR="00AA41D3">
        <w:t xml:space="preserve">We therefore agree that </w:t>
      </w:r>
      <w:r w:rsidR="00847585">
        <w:t>many of the proposed changes</w:t>
      </w:r>
      <w:r w:rsidR="00AA41D3">
        <w:t xml:space="preserve">, subject to safeguards, </w:t>
      </w:r>
      <w:r w:rsidR="00847585">
        <w:t>are</w:t>
      </w:r>
      <w:r w:rsidR="00145434">
        <w:t xml:space="preserve"> likely to have significant benefits for patients, </w:t>
      </w:r>
      <w:r w:rsidR="00847585">
        <w:t xml:space="preserve">the </w:t>
      </w:r>
      <w:r w:rsidR="00145434">
        <w:t xml:space="preserve">public, the NHS and UK economy. </w:t>
      </w:r>
    </w:p>
    <w:p w:rsidR="004573FF" w:rsidRPr="004573FF" w:rsidRDefault="004573FF" w:rsidP="004573FF">
      <w:pPr>
        <w:pStyle w:val="ListParagraph"/>
        <w:spacing w:before="240" w:after="240" w:line="240" w:lineRule="auto"/>
        <w:ind w:left="142"/>
      </w:pPr>
    </w:p>
    <w:p w:rsidR="000F2D25" w:rsidRDefault="00035B63" w:rsidP="000F2D25">
      <w:pPr>
        <w:pStyle w:val="ListParagraph"/>
        <w:numPr>
          <w:ilvl w:val="0"/>
          <w:numId w:val="2"/>
        </w:numPr>
        <w:spacing w:before="240" w:after="240" w:line="240" w:lineRule="auto"/>
        <w:ind w:left="142"/>
      </w:pPr>
      <w:r>
        <w:t>We</w:t>
      </w:r>
      <w:r w:rsidR="004573FF">
        <w:t xml:space="preserve"> agree that t</w:t>
      </w:r>
      <w:r w:rsidR="00BB61BF">
        <w:t xml:space="preserve">he </w:t>
      </w:r>
      <w:r w:rsidRPr="00035B63">
        <w:rPr>
          <w:i/>
        </w:rPr>
        <w:t>“</w:t>
      </w:r>
      <w:r w:rsidR="00BB61BF" w:rsidRPr="00035B63">
        <w:rPr>
          <w:i/>
        </w:rPr>
        <w:t>Health and Social Care Act 2012 place</w:t>
      </w:r>
      <w:r w:rsidR="004573FF" w:rsidRPr="00035B63">
        <w:rPr>
          <w:i/>
        </w:rPr>
        <w:t>s</w:t>
      </w:r>
      <w:r w:rsidR="00BB61BF" w:rsidRPr="00035B63">
        <w:rPr>
          <w:i/>
        </w:rPr>
        <w:t xml:space="preserve"> a legal duty on NHS England to promote research and use research evidence in the NHS</w:t>
      </w:r>
      <w:r>
        <w:rPr>
          <w:i/>
        </w:rPr>
        <w:t>”</w:t>
      </w:r>
      <w:r w:rsidR="00BB61BF">
        <w:t xml:space="preserve">. </w:t>
      </w:r>
      <w:r>
        <w:t xml:space="preserve"> </w:t>
      </w:r>
      <w:r w:rsidR="00581C22">
        <w:t>We do</w:t>
      </w:r>
      <w:r>
        <w:t xml:space="preserve"> </w:t>
      </w:r>
      <w:r w:rsidR="000F2D25">
        <w:t xml:space="preserve">however </w:t>
      </w:r>
      <w:r>
        <w:t>have some concerns about the lack of consistency in how the Health and Social Care Act 2012, the NHS Constitution and NHS mandate are applied. For example</w:t>
      </w:r>
    </w:p>
    <w:p w:rsidR="00D554C5" w:rsidRDefault="00847585" w:rsidP="00D554C5">
      <w:pPr>
        <w:pStyle w:val="ListParagraph"/>
        <w:numPr>
          <w:ilvl w:val="1"/>
          <w:numId w:val="2"/>
        </w:numPr>
        <w:spacing w:before="240" w:after="240" w:line="240" w:lineRule="auto"/>
        <w:ind w:left="426"/>
      </w:pPr>
      <w:r>
        <w:t>t</w:t>
      </w:r>
      <w:r w:rsidR="00BB61BF">
        <w:t xml:space="preserve">he </w:t>
      </w:r>
      <w:r w:rsidR="00BB61BF" w:rsidRPr="000F2D25">
        <w:t>Health and Social Care Act 2012</w:t>
      </w:r>
      <w:r w:rsidR="00BB61BF">
        <w:t xml:space="preserve"> places duties on NHS England and Clinical Commissioning Groups</w:t>
      </w:r>
      <w:r>
        <w:t xml:space="preserve"> (CCGs)</w:t>
      </w:r>
      <w:r w:rsidR="00BB61BF">
        <w:t xml:space="preserve"> </w:t>
      </w:r>
      <w:r w:rsidR="000F2D25">
        <w:t>to</w:t>
      </w:r>
      <w:r>
        <w:t xml:space="preserve"> exercising duties effectively, efficiently and economically and to secure continuous quality improvement</w:t>
      </w:r>
    </w:p>
    <w:p w:rsidR="00D554C5" w:rsidRPr="000F2D25" w:rsidRDefault="00D554C5" w:rsidP="003E1912">
      <w:pPr>
        <w:pStyle w:val="ListParagraph"/>
        <w:numPr>
          <w:ilvl w:val="1"/>
          <w:numId w:val="2"/>
        </w:numPr>
        <w:spacing w:before="240" w:after="240" w:line="240" w:lineRule="auto"/>
        <w:ind w:left="426"/>
        <w:rPr>
          <w:b/>
        </w:rPr>
      </w:pPr>
      <w:r>
        <w:t>i</w:t>
      </w:r>
      <w:r w:rsidR="00847585">
        <w:t>f NHS commissioners implemented NHS England’s own commissioning guidance</w:t>
      </w:r>
      <w:r w:rsidR="00847585">
        <w:rPr>
          <w:rStyle w:val="FootnoteReference"/>
        </w:rPr>
        <w:footnoteReference w:id="1"/>
      </w:r>
      <w:r w:rsidR="00847585">
        <w:t xml:space="preserve">, </w:t>
      </w:r>
      <w:r>
        <w:t xml:space="preserve">which is </w:t>
      </w:r>
      <w:r w:rsidR="00847585" w:rsidRPr="000F2D25">
        <w:rPr>
          <w:b/>
        </w:rPr>
        <w:t>based on the NHS’s own research</w:t>
      </w:r>
      <w:r w:rsidR="00847585" w:rsidRPr="000F2D25">
        <w:rPr>
          <w:rStyle w:val="FootnoteReference"/>
          <w:b/>
        </w:rPr>
        <w:footnoteReference w:id="2"/>
      </w:r>
      <w:r w:rsidRPr="000F2D25">
        <w:rPr>
          <w:b/>
        </w:rPr>
        <w:t xml:space="preserve">, </w:t>
      </w:r>
      <w:r w:rsidR="000A2379" w:rsidRPr="000F2D25">
        <w:rPr>
          <w:b/>
        </w:rPr>
        <w:t>we estimate the NHS in England would save</w:t>
      </w:r>
      <w:r w:rsidR="003E1912" w:rsidRPr="000F2D25">
        <w:rPr>
          <w:b/>
        </w:rPr>
        <w:t xml:space="preserve"> £30 million per year.</w:t>
      </w:r>
      <w:r w:rsidR="003E1912" w:rsidRPr="000F2D25">
        <w:t xml:space="preserve"> </w:t>
      </w:r>
      <w:r w:rsidR="003E1912" w:rsidRPr="000F2D25">
        <w:rPr>
          <w:b/>
        </w:rPr>
        <w:t>T</w:t>
      </w:r>
      <w:r w:rsidR="000A2379" w:rsidRPr="000F2D25">
        <w:rPr>
          <w:b/>
        </w:rPr>
        <w:t>his funding could then be used to f</w:t>
      </w:r>
      <w:r w:rsidRPr="000F2D25">
        <w:rPr>
          <w:b/>
        </w:rPr>
        <w:t>und research or other NHS care</w:t>
      </w:r>
    </w:p>
    <w:p w:rsidR="000A2379" w:rsidRDefault="000F2D25" w:rsidP="000F2D25">
      <w:pPr>
        <w:pStyle w:val="ListParagraph"/>
        <w:numPr>
          <w:ilvl w:val="1"/>
          <w:numId w:val="2"/>
        </w:numPr>
        <w:spacing w:before="240" w:after="240" w:line="240" w:lineRule="auto"/>
        <w:ind w:left="426"/>
      </w:pPr>
      <w:r>
        <w:t xml:space="preserve">so, </w:t>
      </w:r>
      <w:r w:rsidRPr="000C0A95">
        <w:rPr>
          <w:b/>
        </w:rPr>
        <w:t xml:space="preserve">although we agree with the six design principles in section 3.3 (page 13) and think that these are sensible, rational and long overdue, the </w:t>
      </w:r>
      <w:r w:rsidR="00595703" w:rsidRPr="000C0A95">
        <w:rPr>
          <w:b/>
        </w:rPr>
        <w:t xml:space="preserve">same </w:t>
      </w:r>
      <w:r w:rsidR="000A2379" w:rsidRPr="000C0A95">
        <w:rPr>
          <w:b/>
        </w:rPr>
        <w:t xml:space="preserve">principles </w:t>
      </w:r>
      <w:r w:rsidR="00595703" w:rsidRPr="000C0A95">
        <w:rPr>
          <w:b/>
        </w:rPr>
        <w:t>could</w:t>
      </w:r>
      <w:r w:rsidR="000A2379" w:rsidRPr="000C0A95">
        <w:rPr>
          <w:b/>
        </w:rPr>
        <w:t xml:space="preserve"> be applied to NHS adult hearing care in order to a</w:t>
      </w:r>
      <w:r w:rsidR="003E1912" w:rsidRPr="000C0A95">
        <w:rPr>
          <w:b/>
        </w:rPr>
        <w:t>chieve the savings cited above</w:t>
      </w:r>
    </w:p>
    <w:p w:rsidR="000F2D25" w:rsidRDefault="000F2D25" w:rsidP="000F2D25">
      <w:pPr>
        <w:pStyle w:val="ListParagraph"/>
        <w:numPr>
          <w:ilvl w:val="1"/>
          <w:numId w:val="2"/>
        </w:numPr>
        <w:spacing w:before="240" w:after="240" w:line="240" w:lineRule="auto"/>
        <w:ind w:left="426"/>
      </w:pPr>
      <w:r>
        <w:t>we therefore support the principles in question but do not feel they have to be selectively applied to research. Patients, the public, NHS, taxpayer and UK economy would benefit from of applying the same principles</w:t>
      </w:r>
      <w:r w:rsidR="009B5888">
        <w:rPr>
          <w:rStyle w:val="FootnoteReference"/>
        </w:rPr>
        <w:footnoteReference w:id="3"/>
      </w:r>
      <w:r>
        <w:t xml:space="preserve"> when commissioning NHS hearing care</w:t>
      </w:r>
    </w:p>
    <w:p w:rsidR="00646257" w:rsidRDefault="009B5888" w:rsidP="00646257">
      <w:pPr>
        <w:pStyle w:val="ListParagraph"/>
        <w:numPr>
          <w:ilvl w:val="1"/>
          <w:numId w:val="2"/>
        </w:numPr>
        <w:spacing w:before="240" w:after="240" w:line="240" w:lineRule="auto"/>
        <w:ind w:left="426"/>
      </w:pPr>
      <w:r>
        <w:t>we hope the NHS Standard Contract team can consider forwarding the potential savings and generalisability</w:t>
      </w:r>
      <w:r w:rsidR="00B01491">
        <w:t xml:space="preserve"> of the principles</w:t>
      </w:r>
      <w:r w:rsidR="000C0A95">
        <w:t xml:space="preserve"> to commissioning adult hearing care</w:t>
      </w:r>
      <w:r w:rsidR="00B01491">
        <w:t>.</w:t>
      </w:r>
    </w:p>
    <w:p w:rsidR="00AF5D22" w:rsidRPr="002D55AA" w:rsidRDefault="00AF5D22" w:rsidP="00AF5D22">
      <w:pPr>
        <w:pStyle w:val="ListParagraph"/>
        <w:spacing w:before="240" w:after="240" w:line="240" w:lineRule="auto"/>
        <w:ind w:left="426"/>
      </w:pPr>
    </w:p>
    <w:p w:rsidR="00A9631B" w:rsidRPr="00646257" w:rsidRDefault="00B01491" w:rsidP="00646257">
      <w:pPr>
        <w:pStyle w:val="ListParagraph"/>
        <w:numPr>
          <w:ilvl w:val="0"/>
          <w:numId w:val="2"/>
        </w:numPr>
        <w:spacing w:before="240" w:after="240" w:line="240" w:lineRule="auto"/>
        <w:ind w:left="142"/>
        <w:rPr>
          <w:rFonts w:cs="Arial"/>
        </w:rPr>
      </w:pPr>
      <w:r w:rsidRPr="00841CBD">
        <w:rPr>
          <w:rFonts w:cs="Arial"/>
          <w:lang w:val="en-US"/>
        </w:rPr>
        <w:t xml:space="preserve">The NCHA is committed to working with </w:t>
      </w:r>
      <w:r>
        <w:rPr>
          <w:rFonts w:cs="Arial"/>
          <w:lang w:val="en-US"/>
        </w:rPr>
        <w:t xml:space="preserve">NHS England </w:t>
      </w:r>
      <w:r w:rsidRPr="00841CBD">
        <w:rPr>
          <w:rFonts w:cs="Arial"/>
          <w:lang w:val="en-US"/>
        </w:rPr>
        <w:t>and</w:t>
      </w:r>
      <w:r w:rsidRPr="00BA6E43">
        <w:rPr>
          <w:rFonts w:cs="Arial"/>
          <w:lang w:val="en-US"/>
        </w:rPr>
        <w:t xml:space="preserve"> would be happy to expand on our submission if that would be helpful. </w:t>
      </w:r>
    </w:p>
    <w:sectPr w:rsidR="00A9631B" w:rsidRPr="00646257" w:rsidSect="00646257">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B97" w:rsidRDefault="00354B97" w:rsidP="00847585">
      <w:pPr>
        <w:spacing w:after="0" w:line="240" w:lineRule="auto"/>
      </w:pPr>
      <w:r>
        <w:separator/>
      </w:r>
    </w:p>
  </w:endnote>
  <w:endnote w:type="continuationSeparator" w:id="0">
    <w:p w:rsidR="00354B97" w:rsidRDefault="00354B97" w:rsidP="00847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B97" w:rsidRDefault="00354B97" w:rsidP="00847585">
      <w:pPr>
        <w:spacing w:after="0" w:line="240" w:lineRule="auto"/>
      </w:pPr>
      <w:r>
        <w:separator/>
      </w:r>
    </w:p>
  </w:footnote>
  <w:footnote w:type="continuationSeparator" w:id="0">
    <w:p w:rsidR="00354B97" w:rsidRDefault="00354B97" w:rsidP="00847585">
      <w:pPr>
        <w:spacing w:after="0" w:line="240" w:lineRule="auto"/>
      </w:pPr>
      <w:r>
        <w:continuationSeparator/>
      </w:r>
    </w:p>
  </w:footnote>
  <w:footnote w:id="1">
    <w:p w:rsidR="00847585" w:rsidRPr="009B5888" w:rsidRDefault="00847585">
      <w:pPr>
        <w:pStyle w:val="FootnoteText"/>
        <w:rPr>
          <w:sz w:val="16"/>
          <w:szCs w:val="18"/>
        </w:rPr>
      </w:pPr>
      <w:r w:rsidRPr="009B5888">
        <w:rPr>
          <w:rStyle w:val="FootnoteReference"/>
          <w:sz w:val="16"/>
          <w:szCs w:val="18"/>
        </w:rPr>
        <w:footnoteRef/>
      </w:r>
      <w:r w:rsidRPr="009B5888">
        <w:rPr>
          <w:sz w:val="16"/>
          <w:szCs w:val="18"/>
        </w:rPr>
        <w:t xml:space="preserve"> NHS England, Commissioning Services for People with Hearing Loss: A Framework for Clinical Commissioning Groups, </w:t>
      </w:r>
      <w:hyperlink r:id="rId1" w:history="1">
        <w:r w:rsidRPr="009B5888">
          <w:rPr>
            <w:rStyle w:val="Hyperlink"/>
            <w:sz w:val="16"/>
            <w:szCs w:val="18"/>
          </w:rPr>
          <w:t>https://www.england.nhs.uk/wp-content/uploads/2016/07/HLCF.pdf</w:t>
        </w:r>
      </w:hyperlink>
      <w:r w:rsidRPr="009B5888">
        <w:rPr>
          <w:sz w:val="16"/>
          <w:szCs w:val="18"/>
        </w:rPr>
        <w:t xml:space="preserve"> </w:t>
      </w:r>
    </w:p>
  </w:footnote>
  <w:footnote w:id="2">
    <w:p w:rsidR="00847585" w:rsidRPr="009B5888" w:rsidRDefault="00847585" w:rsidP="003E1912">
      <w:pPr>
        <w:pStyle w:val="Heading1"/>
        <w:shd w:val="clear" w:color="auto" w:fill="FFFFFF"/>
        <w:spacing w:before="0" w:beforeAutospacing="0" w:after="0" w:afterAutospacing="0"/>
        <w:textAlignment w:val="baseline"/>
        <w:rPr>
          <w:rFonts w:asciiTheme="minorHAnsi" w:hAnsiTheme="minorHAnsi" w:cs="Arial"/>
          <w:b w:val="0"/>
          <w:color w:val="0B0C0C"/>
          <w:sz w:val="16"/>
          <w:szCs w:val="18"/>
        </w:rPr>
      </w:pPr>
      <w:r w:rsidRPr="009B5888">
        <w:rPr>
          <w:rStyle w:val="FootnoteReference"/>
          <w:rFonts w:asciiTheme="minorHAnsi" w:hAnsiTheme="minorHAnsi"/>
          <w:b w:val="0"/>
          <w:sz w:val="16"/>
          <w:szCs w:val="18"/>
        </w:rPr>
        <w:footnoteRef/>
      </w:r>
      <w:r w:rsidRPr="009B5888">
        <w:rPr>
          <w:rFonts w:asciiTheme="minorHAnsi" w:hAnsiTheme="minorHAnsi"/>
          <w:b w:val="0"/>
          <w:sz w:val="16"/>
          <w:szCs w:val="18"/>
        </w:rPr>
        <w:t xml:space="preserve"> Monitor, 2015, </w:t>
      </w:r>
      <w:r w:rsidRPr="009B5888">
        <w:rPr>
          <w:rFonts w:asciiTheme="minorHAnsi" w:hAnsiTheme="minorHAnsi" w:cs="Arial"/>
          <w:b w:val="0"/>
          <w:color w:val="0B0C0C"/>
          <w:sz w:val="16"/>
          <w:szCs w:val="18"/>
        </w:rPr>
        <w:t xml:space="preserve">NHS adult hearing services in England: exploring how choice is working for patients, </w:t>
      </w:r>
      <w:hyperlink r:id="rId2" w:history="1">
        <w:r w:rsidRPr="009B5888">
          <w:rPr>
            <w:rStyle w:val="Hyperlink"/>
            <w:rFonts w:asciiTheme="minorHAnsi" w:hAnsiTheme="minorHAnsi" w:cs="Arial"/>
            <w:b w:val="0"/>
            <w:sz w:val="16"/>
            <w:szCs w:val="18"/>
          </w:rPr>
          <w:t>https://www.gov.uk/government/publications/nhs-adult-hearing-services-in-england-exploring-how-choice-is-working-for-patients</w:t>
        </w:r>
      </w:hyperlink>
      <w:r w:rsidRPr="009B5888">
        <w:rPr>
          <w:rFonts w:asciiTheme="minorHAnsi" w:hAnsiTheme="minorHAnsi" w:cs="Arial"/>
          <w:b w:val="0"/>
          <w:color w:val="0B0C0C"/>
          <w:sz w:val="16"/>
          <w:szCs w:val="18"/>
        </w:rPr>
        <w:t xml:space="preserve"> </w:t>
      </w:r>
    </w:p>
  </w:footnote>
  <w:footnote w:id="3">
    <w:p w:rsidR="009B5888" w:rsidRDefault="009B5888">
      <w:pPr>
        <w:pStyle w:val="FootnoteText"/>
      </w:pPr>
      <w:r w:rsidRPr="009B5888">
        <w:rPr>
          <w:rStyle w:val="FootnoteReference"/>
          <w:sz w:val="16"/>
          <w:szCs w:val="18"/>
        </w:rPr>
        <w:footnoteRef/>
      </w:r>
      <w:r w:rsidRPr="009B5888">
        <w:rPr>
          <w:sz w:val="16"/>
          <w:szCs w:val="18"/>
        </w:rPr>
        <w:t xml:space="preserve"> Capability (unrealistic to expect over 200 CCGs to have all the expertise, utilise sub regional expertise instead), Consistency (whole country should follow the same process), Cost neutrality, Simplicity (reduced transaction costs), Single point of access (clarity on who to approach to get the best results for patients, public, NHS and taxpayer), Transparency (decisions should be open and transparent to all stakeholders)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75EF"/>
    <w:multiLevelType w:val="hybridMultilevel"/>
    <w:tmpl w:val="68CA8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3AD216B"/>
    <w:multiLevelType w:val="hybridMultilevel"/>
    <w:tmpl w:val="D66683CE"/>
    <w:lvl w:ilvl="0" w:tplc="F43C294E">
      <w:start w:val="1"/>
      <w:numFmt w:val="decimal"/>
      <w:lvlText w:val="%1."/>
      <w:lvlJc w:val="left"/>
      <w:pPr>
        <w:ind w:left="360" w:hanging="360"/>
      </w:pPr>
      <w:rPr>
        <w:rFonts w:asciiTheme="minorHAnsi" w:hAnsiTheme="minorHAnsi" w:hint="default"/>
        <w:b w:val="0"/>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CDF5B67"/>
    <w:multiLevelType w:val="hybridMultilevel"/>
    <w:tmpl w:val="2174AFA0"/>
    <w:lvl w:ilvl="0" w:tplc="AF422A2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BA1"/>
    <w:rsid w:val="00011AFA"/>
    <w:rsid w:val="00035B63"/>
    <w:rsid w:val="000A2379"/>
    <w:rsid w:val="000C0A95"/>
    <w:rsid w:val="000F2D25"/>
    <w:rsid w:val="00111E2E"/>
    <w:rsid w:val="00145434"/>
    <w:rsid w:val="001F5DCD"/>
    <w:rsid w:val="00214C62"/>
    <w:rsid w:val="00280EEE"/>
    <w:rsid w:val="00354B97"/>
    <w:rsid w:val="003B6D33"/>
    <w:rsid w:val="003E1912"/>
    <w:rsid w:val="004573FF"/>
    <w:rsid w:val="00495CFA"/>
    <w:rsid w:val="00526FFA"/>
    <w:rsid w:val="00581C22"/>
    <w:rsid w:val="00595703"/>
    <w:rsid w:val="00646257"/>
    <w:rsid w:val="006C128A"/>
    <w:rsid w:val="00753D57"/>
    <w:rsid w:val="007D4B96"/>
    <w:rsid w:val="007F66B6"/>
    <w:rsid w:val="00847585"/>
    <w:rsid w:val="008B342E"/>
    <w:rsid w:val="008D369E"/>
    <w:rsid w:val="00964BA1"/>
    <w:rsid w:val="009B5888"/>
    <w:rsid w:val="00A9631B"/>
    <w:rsid w:val="00AA41D3"/>
    <w:rsid w:val="00AF5D22"/>
    <w:rsid w:val="00B01491"/>
    <w:rsid w:val="00BB61BF"/>
    <w:rsid w:val="00BE6694"/>
    <w:rsid w:val="00C20306"/>
    <w:rsid w:val="00C53661"/>
    <w:rsid w:val="00CB5015"/>
    <w:rsid w:val="00D554C5"/>
    <w:rsid w:val="00E1294C"/>
    <w:rsid w:val="00F25942"/>
    <w:rsid w:val="00F37BF4"/>
    <w:rsid w:val="00F850DE"/>
    <w:rsid w:val="00FD1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23ECC-8325-40F8-AE5D-2F86167D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75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F66B6"/>
    <w:pPr>
      <w:ind w:left="720"/>
      <w:contextualSpacing/>
    </w:pPr>
  </w:style>
  <w:style w:type="character" w:styleId="Hyperlink">
    <w:name w:val="Hyperlink"/>
    <w:basedOn w:val="DefaultParagraphFont"/>
    <w:uiPriority w:val="99"/>
    <w:unhideWhenUsed/>
    <w:rsid w:val="00A9631B"/>
    <w:rPr>
      <w:color w:val="0563C1" w:themeColor="hyperlink"/>
      <w:u w:val="single"/>
    </w:rPr>
  </w:style>
  <w:style w:type="character" w:customStyle="1" w:styleId="ListParagraphChar">
    <w:name w:val="List Paragraph Char"/>
    <w:link w:val="ListParagraph"/>
    <w:uiPriority w:val="34"/>
    <w:rsid w:val="00BE6694"/>
  </w:style>
  <w:style w:type="paragraph" w:styleId="FootnoteText">
    <w:name w:val="footnote text"/>
    <w:basedOn w:val="Normal"/>
    <w:link w:val="FootnoteTextChar"/>
    <w:uiPriority w:val="99"/>
    <w:semiHidden/>
    <w:unhideWhenUsed/>
    <w:rsid w:val="008475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7585"/>
    <w:rPr>
      <w:sz w:val="20"/>
      <w:szCs w:val="20"/>
    </w:rPr>
  </w:style>
  <w:style w:type="character" w:styleId="FootnoteReference">
    <w:name w:val="footnote reference"/>
    <w:basedOn w:val="DefaultParagraphFont"/>
    <w:uiPriority w:val="99"/>
    <w:semiHidden/>
    <w:unhideWhenUsed/>
    <w:rsid w:val="00847585"/>
    <w:rPr>
      <w:vertAlign w:val="superscript"/>
    </w:rPr>
  </w:style>
  <w:style w:type="character" w:customStyle="1" w:styleId="Heading1Char">
    <w:name w:val="Heading 1 Char"/>
    <w:basedOn w:val="DefaultParagraphFont"/>
    <w:link w:val="Heading1"/>
    <w:uiPriority w:val="9"/>
    <w:rsid w:val="00847585"/>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54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publications/nhs-adult-hearing-services-in-england-exploring-how-choice-is-working-for-patients" TargetMode="External"/><Relationship Id="rId1" Type="http://schemas.openxmlformats.org/officeDocument/2006/relationships/hyperlink" Target="https://www.england.nhs.uk/wp-content/uploads/2016/07/HLC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F41EC-E550-4397-89EC-9CD38B837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17</Lines>
  <LinksUpToDate>false</LinksUpToDate>
  <Paragraphs>4</Paragraphs>
  <ScaleCrop>false</ScaleCrop>
  <CharactersWithSpaces>2491</CharactersWithSpaces>
  <SharedDoc>false</SharedDoc>
  <HyperlinksChanged>false</HyperlinksChanged>
  <AppVersion>15.0000</AppVersion>
  <Characters>2123</Characters>
  <Pages>2</Pages>
  <DocSecurity>4</DocSecurity>
  <Words>372</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2018-02-01T16:34:00Z</dcterms:modified>
  <dc:description/>
  <cp:keywords/>
  <dc:subject/>
  <dc:title/>
  <cp:lastModifiedBy>Nafees RahmanNCHA</cp:lastModifiedBy>
  <dcterms:created xsi:type="dcterms:W3CDTF">2018-02-01T16:34:00Z</dcterms:created>
  <cp:revision>2</cp:revision>
</cp:coreProperties>
</file>