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A49D3" w14:textId="77777777" w:rsidR="00B72EDF" w:rsidRPr="00F85B35" w:rsidRDefault="00B72EDF"/>
    <w:tbl>
      <w:tblPr>
        <w:tblW w:w="10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1276"/>
        <w:gridCol w:w="6201"/>
      </w:tblGrid>
      <w:tr w:rsidR="00F85B35" w:rsidRPr="00F85B35" w14:paraId="4E7D2583" w14:textId="77777777" w:rsidTr="003A06AF">
        <w:trPr>
          <w:cantSplit/>
        </w:trPr>
        <w:tc>
          <w:tcPr>
            <w:tcW w:w="2552" w:type="dxa"/>
            <w:gridSpan w:val="2"/>
            <w:tcBorders>
              <w:top w:val="double" w:sz="4" w:space="0" w:color="auto"/>
              <w:left w:val="double" w:sz="4" w:space="0" w:color="auto"/>
              <w:bottom w:val="double" w:sz="4" w:space="0" w:color="auto"/>
              <w:right w:val="double" w:sz="4" w:space="0" w:color="auto"/>
            </w:tcBorders>
            <w:shd w:val="clear" w:color="auto" w:fill="auto"/>
          </w:tcPr>
          <w:p w14:paraId="4EFEF40D" w14:textId="77777777" w:rsidR="00A812B3" w:rsidRPr="00F85B35" w:rsidRDefault="00A812B3" w:rsidP="00EF30D0">
            <w:pPr>
              <w:rPr>
                <w:rFonts w:cs="Arial"/>
                <w:b/>
                <w:sz w:val="24"/>
                <w:szCs w:val="24"/>
              </w:rPr>
            </w:pPr>
            <w:r w:rsidRPr="00F85B35">
              <w:rPr>
                <w:rFonts w:cs="Arial"/>
                <w:b/>
                <w:sz w:val="24"/>
                <w:szCs w:val="24"/>
              </w:rPr>
              <w:t>Please note:</w:t>
            </w:r>
          </w:p>
        </w:tc>
        <w:tc>
          <w:tcPr>
            <w:tcW w:w="7477" w:type="dxa"/>
            <w:gridSpan w:val="2"/>
            <w:tcBorders>
              <w:top w:val="double" w:sz="4" w:space="0" w:color="auto"/>
              <w:left w:val="double" w:sz="4" w:space="0" w:color="auto"/>
              <w:bottom w:val="double" w:sz="4" w:space="0" w:color="auto"/>
              <w:right w:val="double" w:sz="4" w:space="0" w:color="auto"/>
            </w:tcBorders>
          </w:tcPr>
          <w:p w14:paraId="25E56CBE" w14:textId="77777777" w:rsidR="00F510F0" w:rsidRPr="00F85B35" w:rsidRDefault="00C97473" w:rsidP="00914F46">
            <w:pPr>
              <w:rPr>
                <w:sz w:val="24"/>
                <w:szCs w:val="24"/>
              </w:rPr>
            </w:pPr>
            <w:r w:rsidRPr="00F85B35">
              <w:rPr>
                <w:rFonts w:cs="Arial"/>
                <w:sz w:val="24"/>
                <w:szCs w:val="24"/>
              </w:rPr>
              <w:t>Please read the</w:t>
            </w:r>
            <w:r w:rsidR="00A71026" w:rsidRPr="00F85B35">
              <w:rPr>
                <w:rFonts w:cs="Arial"/>
                <w:sz w:val="24"/>
                <w:szCs w:val="24"/>
              </w:rPr>
              <w:t xml:space="preserve"> checklist for submitting comments at the end of this form</w:t>
            </w:r>
            <w:r w:rsidRPr="00F85B35">
              <w:rPr>
                <w:rFonts w:cs="Arial"/>
                <w:sz w:val="24"/>
                <w:szCs w:val="24"/>
              </w:rPr>
              <w:t>. We cannot accept forms that are not filled in correctly</w:t>
            </w:r>
            <w:r w:rsidR="008D7B9E" w:rsidRPr="00F85B35">
              <w:rPr>
                <w:rFonts w:cs="Arial"/>
                <w:sz w:val="24"/>
                <w:szCs w:val="24"/>
              </w:rPr>
              <w:t xml:space="preserve"> or arrive after the deadline</w:t>
            </w:r>
            <w:r w:rsidRPr="00F85B35">
              <w:rPr>
                <w:rFonts w:cs="Arial"/>
                <w:sz w:val="24"/>
                <w:szCs w:val="24"/>
              </w:rPr>
              <w:t xml:space="preserve">. </w:t>
            </w:r>
          </w:p>
          <w:p w14:paraId="6D897C94" w14:textId="77777777" w:rsidR="00F510F0" w:rsidRPr="00F85B35" w:rsidRDefault="00BB4271" w:rsidP="00197F8A">
            <w:pPr>
              <w:rPr>
                <w:sz w:val="24"/>
                <w:szCs w:val="24"/>
              </w:rPr>
            </w:pPr>
            <w:hyperlink r:id="rId8" w:anchor="scope-consultation" w:history="1">
              <w:r w:rsidR="00C97473" w:rsidRPr="00F85B35">
                <w:rPr>
                  <w:rStyle w:val="Hyperlink"/>
                  <w:color w:val="auto"/>
                  <w:sz w:val="24"/>
                  <w:szCs w:val="24"/>
                </w:rPr>
                <w:t>Developing NICE guidance: how to get involved</w:t>
              </w:r>
            </w:hyperlink>
            <w:r w:rsidR="00C97473" w:rsidRPr="00F85B35">
              <w:rPr>
                <w:sz w:val="24"/>
                <w:szCs w:val="24"/>
              </w:rPr>
              <w:t xml:space="preserve"> </w:t>
            </w:r>
            <w:r w:rsidR="00FA6C5A" w:rsidRPr="00F85B35">
              <w:rPr>
                <w:sz w:val="24"/>
                <w:szCs w:val="24"/>
              </w:rPr>
              <w:t xml:space="preserve">has </w:t>
            </w:r>
            <w:r w:rsidR="00F510F0" w:rsidRPr="00F85B35">
              <w:rPr>
                <w:sz w:val="24"/>
                <w:szCs w:val="24"/>
              </w:rPr>
              <w:t xml:space="preserve">a list of possible areas for comment </w:t>
            </w:r>
            <w:r w:rsidR="008855FD" w:rsidRPr="00F85B35">
              <w:rPr>
                <w:sz w:val="24"/>
                <w:szCs w:val="24"/>
              </w:rPr>
              <w:t>on the draft scope</w:t>
            </w:r>
            <w:r w:rsidR="00B070BA" w:rsidRPr="00F85B35">
              <w:rPr>
                <w:sz w:val="24"/>
                <w:szCs w:val="24"/>
              </w:rPr>
              <w:t>.</w:t>
            </w:r>
            <w:r w:rsidR="008855FD" w:rsidRPr="00F85B35">
              <w:rPr>
                <w:sz w:val="24"/>
                <w:szCs w:val="24"/>
              </w:rPr>
              <w:t xml:space="preserve"> </w:t>
            </w:r>
            <w:r w:rsidR="00F510F0" w:rsidRPr="00F85B35">
              <w:rPr>
                <w:sz w:val="24"/>
                <w:szCs w:val="24"/>
              </w:rPr>
              <w:t xml:space="preserve">  </w:t>
            </w:r>
          </w:p>
        </w:tc>
      </w:tr>
      <w:tr w:rsidR="00F85B35" w:rsidRPr="00F85B35" w14:paraId="737C69DE" w14:textId="77777777" w:rsidTr="003A06AF">
        <w:trPr>
          <w:cantSplit/>
        </w:trPr>
        <w:tc>
          <w:tcPr>
            <w:tcW w:w="2552" w:type="dxa"/>
            <w:gridSpan w:val="2"/>
            <w:tcBorders>
              <w:top w:val="double" w:sz="4" w:space="0" w:color="auto"/>
              <w:left w:val="double" w:sz="4" w:space="0" w:color="auto"/>
              <w:bottom w:val="double" w:sz="4" w:space="0" w:color="auto"/>
              <w:right w:val="single" w:sz="4" w:space="0" w:color="auto"/>
            </w:tcBorders>
            <w:shd w:val="clear" w:color="auto" w:fill="auto"/>
          </w:tcPr>
          <w:p w14:paraId="3214F439" w14:textId="77777777" w:rsidR="00A812B3" w:rsidRPr="00F85B35" w:rsidRDefault="00A812B3" w:rsidP="00215BC8">
            <w:pPr>
              <w:pStyle w:val="BodyText"/>
              <w:rPr>
                <w:rFonts w:cs="Arial"/>
                <w:szCs w:val="22"/>
              </w:rPr>
            </w:pPr>
            <w:r w:rsidRPr="00F85B35">
              <w:rPr>
                <w:rFonts w:cs="Arial"/>
                <w:szCs w:val="22"/>
              </w:rPr>
              <w:t>Stakeholder o</w:t>
            </w:r>
            <w:r w:rsidR="00BC41AA" w:rsidRPr="00F85B35">
              <w:rPr>
                <w:rFonts w:cs="Arial"/>
                <w:szCs w:val="22"/>
              </w:rPr>
              <w:t xml:space="preserve">rganisation </w:t>
            </w:r>
            <w:r w:rsidR="00BC41AA" w:rsidRPr="00F85B35">
              <w:rPr>
                <w:rFonts w:cs="Arial"/>
                <w:b w:val="0"/>
                <w:sz w:val="18"/>
                <w:szCs w:val="18"/>
              </w:rPr>
              <w:t>(if you are responding as an individual rather than a registered stakeholder please state name here):</w:t>
            </w:r>
          </w:p>
        </w:tc>
        <w:tc>
          <w:tcPr>
            <w:tcW w:w="7477" w:type="dxa"/>
            <w:gridSpan w:val="2"/>
            <w:tcBorders>
              <w:top w:val="double" w:sz="4" w:space="0" w:color="auto"/>
              <w:left w:val="single" w:sz="4" w:space="0" w:color="auto"/>
              <w:bottom w:val="double" w:sz="4" w:space="0" w:color="auto"/>
              <w:right w:val="double" w:sz="4" w:space="0" w:color="auto"/>
            </w:tcBorders>
          </w:tcPr>
          <w:p w14:paraId="77E48971" w14:textId="39A9DF3C" w:rsidR="00A812B3" w:rsidRPr="00F85B35" w:rsidRDefault="00BF64F2" w:rsidP="00BF64F2">
            <w:pPr>
              <w:spacing w:before="240"/>
              <w:rPr>
                <w:rFonts w:cs="Arial"/>
                <w:szCs w:val="22"/>
              </w:rPr>
            </w:pPr>
            <w:r w:rsidRPr="00F85B35">
              <w:rPr>
                <w:rFonts w:cs="Arial"/>
                <w:szCs w:val="22"/>
              </w:rPr>
              <w:t>National Community Hearing Association (NCHA)</w:t>
            </w:r>
            <w:r w:rsidR="00685DA4" w:rsidRPr="00F85B35">
              <w:rPr>
                <w:rFonts w:cs="Arial"/>
                <w:szCs w:val="22"/>
              </w:rPr>
              <w:t xml:space="preserve"> and British Society of Hearing Aid Audiologists (BSHAA)</w:t>
            </w:r>
          </w:p>
          <w:p w14:paraId="68E9FC2E" w14:textId="597EFE09" w:rsidR="00BF64F2" w:rsidRPr="00F85B35" w:rsidRDefault="00BF64F2" w:rsidP="00BF64F2">
            <w:pPr>
              <w:spacing w:before="240"/>
              <w:rPr>
                <w:rFonts w:cs="Arial"/>
                <w:szCs w:val="22"/>
              </w:rPr>
            </w:pPr>
          </w:p>
        </w:tc>
      </w:tr>
      <w:tr w:rsidR="00F85B35" w:rsidRPr="00F85B35" w14:paraId="3DFBC46F" w14:textId="77777777" w:rsidTr="003A06AF">
        <w:trPr>
          <w:cantSplit/>
        </w:trPr>
        <w:tc>
          <w:tcPr>
            <w:tcW w:w="2552" w:type="dxa"/>
            <w:gridSpan w:val="2"/>
            <w:tcBorders>
              <w:top w:val="double" w:sz="4" w:space="0" w:color="auto"/>
              <w:left w:val="double" w:sz="4" w:space="0" w:color="auto"/>
              <w:bottom w:val="double" w:sz="4" w:space="0" w:color="auto"/>
              <w:right w:val="single" w:sz="4" w:space="0" w:color="auto"/>
            </w:tcBorders>
            <w:shd w:val="clear" w:color="auto" w:fill="auto"/>
          </w:tcPr>
          <w:p w14:paraId="06F65ED7" w14:textId="77777777" w:rsidR="00A812B3" w:rsidRPr="00F85B35" w:rsidRDefault="00BC41AA" w:rsidP="00215BC8">
            <w:pPr>
              <w:pStyle w:val="BodyText"/>
              <w:rPr>
                <w:rFonts w:cs="Arial"/>
                <w:szCs w:val="22"/>
              </w:rPr>
            </w:pPr>
            <w:r w:rsidRPr="00F85B35">
              <w:rPr>
                <w:rFonts w:cs="Arial"/>
                <w:szCs w:val="22"/>
              </w:rPr>
              <w:t xml:space="preserve">Name of commentator </w:t>
            </w:r>
            <w:r w:rsidRPr="00F85B35">
              <w:rPr>
                <w:rFonts w:cs="Arial"/>
                <w:b w:val="0"/>
                <w:sz w:val="18"/>
                <w:szCs w:val="18"/>
              </w:rPr>
              <w:t>(if you are responding as an individual rather than a registered stakeholder please leave blank):</w:t>
            </w:r>
          </w:p>
        </w:tc>
        <w:tc>
          <w:tcPr>
            <w:tcW w:w="7477" w:type="dxa"/>
            <w:gridSpan w:val="2"/>
            <w:tcBorders>
              <w:top w:val="double" w:sz="4" w:space="0" w:color="auto"/>
              <w:left w:val="single" w:sz="4" w:space="0" w:color="auto"/>
              <w:bottom w:val="double" w:sz="4" w:space="0" w:color="auto"/>
              <w:right w:val="double" w:sz="4" w:space="0" w:color="auto"/>
            </w:tcBorders>
          </w:tcPr>
          <w:p w14:paraId="34A114E1" w14:textId="77777777" w:rsidR="00A812B3" w:rsidRPr="00F85B35" w:rsidRDefault="00A812B3" w:rsidP="00215BC8">
            <w:pPr>
              <w:rPr>
                <w:rFonts w:cs="Arial"/>
                <w:szCs w:val="22"/>
              </w:rPr>
            </w:pPr>
          </w:p>
          <w:p w14:paraId="22AACD1D" w14:textId="1AA6B396" w:rsidR="00A812B3" w:rsidRPr="00F85B35" w:rsidRDefault="00BF64F2" w:rsidP="00215BC8">
            <w:pPr>
              <w:rPr>
                <w:rFonts w:cs="Arial"/>
                <w:b/>
                <w:szCs w:val="22"/>
                <w:u w:val="single"/>
              </w:rPr>
            </w:pPr>
            <w:r w:rsidRPr="00F85B35">
              <w:rPr>
                <w:rFonts w:cs="Arial"/>
                <w:b/>
                <w:szCs w:val="22"/>
                <w:u w:val="single"/>
              </w:rPr>
              <w:t>Harjit Sandhu (NCHA)</w:t>
            </w:r>
            <w:r w:rsidR="00685DA4" w:rsidRPr="00F85B35">
              <w:rPr>
                <w:rFonts w:cs="Arial"/>
                <w:b/>
                <w:szCs w:val="22"/>
                <w:u w:val="single"/>
              </w:rPr>
              <w:t xml:space="preserve"> – </w:t>
            </w:r>
            <w:hyperlink r:id="rId9" w:history="1">
              <w:r w:rsidR="00685DA4" w:rsidRPr="00F85B35">
                <w:rPr>
                  <w:rStyle w:val="Hyperlink"/>
                  <w:rFonts w:cs="Arial"/>
                  <w:b/>
                  <w:color w:val="auto"/>
                  <w:szCs w:val="22"/>
                </w:rPr>
                <w:t>harjit.sandhu@the-ncha.com</w:t>
              </w:r>
            </w:hyperlink>
            <w:r w:rsidR="00685DA4" w:rsidRPr="00F85B35">
              <w:rPr>
                <w:rFonts w:cs="Arial"/>
                <w:b/>
                <w:szCs w:val="22"/>
                <w:u w:val="single"/>
              </w:rPr>
              <w:t xml:space="preserve"> </w:t>
            </w:r>
          </w:p>
          <w:p w14:paraId="0D8B8F0E" w14:textId="77777777" w:rsidR="00A812B3" w:rsidRPr="00F85B35" w:rsidRDefault="00A812B3" w:rsidP="00215BC8">
            <w:pPr>
              <w:rPr>
                <w:rFonts w:cs="Arial"/>
                <w:szCs w:val="22"/>
              </w:rPr>
            </w:pPr>
          </w:p>
        </w:tc>
      </w:tr>
      <w:tr w:rsidR="00F85B35" w:rsidRPr="00F85B35" w14:paraId="229ADC4F" w14:textId="77777777" w:rsidTr="003A06AF">
        <w:trPr>
          <w:cantSplit/>
        </w:trPr>
        <w:tc>
          <w:tcPr>
            <w:tcW w:w="1276" w:type="dxa"/>
            <w:tcBorders>
              <w:top w:val="double" w:sz="4" w:space="0" w:color="auto"/>
              <w:left w:val="double" w:sz="4" w:space="0" w:color="auto"/>
              <w:bottom w:val="single" w:sz="4" w:space="0" w:color="auto"/>
              <w:right w:val="single" w:sz="4" w:space="0" w:color="auto"/>
            </w:tcBorders>
            <w:shd w:val="clear" w:color="auto" w:fill="E6E6E6"/>
          </w:tcPr>
          <w:p w14:paraId="7EABA093" w14:textId="5F687511" w:rsidR="00A812B3" w:rsidRPr="00F85B35" w:rsidRDefault="00A812B3" w:rsidP="0044012A">
            <w:pPr>
              <w:jc w:val="center"/>
              <w:rPr>
                <w:b/>
                <w:bCs/>
              </w:rPr>
            </w:pPr>
          </w:p>
          <w:p w14:paraId="193C27D5" w14:textId="77777777" w:rsidR="00A812B3" w:rsidRPr="00F85B35" w:rsidRDefault="00A812B3" w:rsidP="0044012A">
            <w:pPr>
              <w:jc w:val="center"/>
              <w:rPr>
                <w:b/>
                <w:bCs/>
              </w:rPr>
            </w:pPr>
          </w:p>
          <w:p w14:paraId="33D0D6BE" w14:textId="77777777" w:rsidR="00A812B3" w:rsidRPr="00F85B35" w:rsidRDefault="00A812B3" w:rsidP="0044012A">
            <w:pPr>
              <w:jc w:val="center"/>
              <w:rPr>
                <w:b/>
                <w:bCs/>
              </w:rPr>
            </w:pPr>
            <w:r w:rsidRPr="00F85B35">
              <w:rPr>
                <w:b/>
                <w:bCs/>
              </w:rPr>
              <w:t>Comment</w:t>
            </w:r>
          </w:p>
          <w:p w14:paraId="6DCB11FC" w14:textId="77777777" w:rsidR="00A812B3" w:rsidRPr="00F85B35" w:rsidRDefault="00A812B3" w:rsidP="0044012A">
            <w:pPr>
              <w:jc w:val="center"/>
              <w:rPr>
                <w:b/>
                <w:bCs/>
              </w:rPr>
            </w:pPr>
            <w:r w:rsidRPr="00F85B35">
              <w:rPr>
                <w:b/>
                <w:bCs/>
              </w:rPr>
              <w:t>No.</w:t>
            </w:r>
          </w:p>
        </w:tc>
        <w:tc>
          <w:tcPr>
            <w:tcW w:w="1276" w:type="dxa"/>
            <w:tcBorders>
              <w:top w:val="double" w:sz="4" w:space="0" w:color="auto"/>
              <w:left w:val="double" w:sz="4" w:space="0" w:color="auto"/>
              <w:bottom w:val="single" w:sz="4" w:space="0" w:color="auto"/>
              <w:right w:val="single" w:sz="4" w:space="0" w:color="auto"/>
            </w:tcBorders>
            <w:shd w:val="clear" w:color="auto" w:fill="E6E6E6"/>
          </w:tcPr>
          <w:p w14:paraId="227DDE05" w14:textId="77777777" w:rsidR="00A812B3" w:rsidRPr="00F85B35" w:rsidRDefault="00A812B3">
            <w:pPr>
              <w:jc w:val="center"/>
              <w:rPr>
                <w:b/>
                <w:bCs/>
              </w:rPr>
            </w:pPr>
          </w:p>
          <w:p w14:paraId="51BB27D4" w14:textId="77777777" w:rsidR="00A812B3" w:rsidRPr="00F85B35" w:rsidRDefault="00A812B3">
            <w:pPr>
              <w:pStyle w:val="BodyText"/>
              <w:jc w:val="center"/>
            </w:pPr>
          </w:p>
          <w:p w14:paraId="13F3CAD5" w14:textId="77777777" w:rsidR="00A812B3" w:rsidRPr="00F85B35" w:rsidRDefault="00A812B3">
            <w:pPr>
              <w:pStyle w:val="BodyText"/>
              <w:jc w:val="center"/>
            </w:pPr>
            <w:r w:rsidRPr="00F85B35">
              <w:t xml:space="preserve">Page </w:t>
            </w:r>
          </w:p>
          <w:p w14:paraId="0AB9068E" w14:textId="77777777" w:rsidR="00A812B3" w:rsidRPr="00F85B35" w:rsidRDefault="00A812B3">
            <w:pPr>
              <w:pStyle w:val="BodyText"/>
              <w:jc w:val="center"/>
            </w:pPr>
            <w:r w:rsidRPr="00F85B35">
              <w:t>number</w:t>
            </w:r>
          </w:p>
          <w:p w14:paraId="773D1966" w14:textId="77777777" w:rsidR="00A812B3" w:rsidRPr="00F85B35" w:rsidRDefault="00A812B3">
            <w:pPr>
              <w:jc w:val="center"/>
              <w:rPr>
                <w:b/>
                <w:bCs/>
              </w:rPr>
            </w:pPr>
          </w:p>
          <w:p w14:paraId="7E045783" w14:textId="77777777" w:rsidR="00A812B3" w:rsidRPr="00F85B35" w:rsidRDefault="00A812B3">
            <w:pPr>
              <w:jc w:val="center"/>
              <w:rPr>
                <w:sz w:val="18"/>
              </w:rPr>
            </w:pPr>
            <w:r w:rsidRPr="00F85B35">
              <w:rPr>
                <w:sz w:val="18"/>
              </w:rPr>
              <w:t xml:space="preserve">or </w:t>
            </w:r>
            <w:r w:rsidRPr="00F85B35">
              <w:rPr>
                <w:b/>
                <w:bCs/>
                <w:sz w:val="18"/>
                <w:u w:val="single"/>
              </w:rPr>
              <w:t>‘general’</w:t>
            </w:r>
            <w:r w:rsidRPr="00F85B35">
              <w:rPr>
                <w:sz w:val="18"/>
              </w:rPr>
              <w:t xml:space="preserve"> </w:t>
            </w:r>
            <w:r w:rsidR="00676CE4" w:rsidRPr="00F85B35">
              <w:rPr>
                <w:sz w:val="18"/>
              </w:rPr>
              <w:t>for</w:t>
            </w:r>
            <w:r w:rsidRPr="00F85B35">
              <w:rPr>
                <w:sz w:val="18"/>
              </w:rPr>
              <w:t xml:space="preserve"> comment</w:t>
            </w:r>
            <w:r w:rsidR="00676CE4" w:rsidRPr="00F85B35">
              <w:rPr>
                <w:sz w:val="18"/>
              </w:rPr>
              <w:t>s</w:t>
            </w:r>
            <w:r w:rsidRPr="00F85B35">
              <w:rPr>
                <w:sz w:val="18"/>
              </w:rPr>
              <w:t xml:space="preserve"> </w:t>
            </w:r>
            <w:r w:rsidR="00676CE4" w:rsidRPr="00F85B35">
              <w:rPr>
                <w:sz w:val="18"/>
              </w:rPr>
              <w:t>on</w:t>
            </w:r>
            <w:r w:rsidRPr="00F85B35">
              <w:rPr>
                <w:sz w:val="18"/>
              </w:rPr>
              <w:t xml:space="preserve"> the whole document</w:t>
            </w:r>
          </w:p>
        </w:tc>
        <w:tc>
          <w:tcPr>
            <w:tcW w:w="1276" w:type="dxa"/>
            <w:tcBorders>
              <w:top w:val="double" w:sz="4" w:space="0" w:color="auto"/>
              <w:left w:val="single" w:sz="4" w:space="0" w:color="auto"/>
              <w:bottom w:val="single" w:sz="4" w:space="0" w:color="auto"/>
              <w:right w:val="single" w:sz="4" w:space="0" w:color="auto"/>
            </w:tcBorders>
            <w:shd w:val="clear" w:color="auto" w:fill="E6E6E6"/>
          </w:tcPr>
          <w:p w14:paraId="079E275E" w14:textId="77777777" w:rsidR="00A812B3" w:rsidRPr="00F85B35" w:rsidRDefault="00A812B3">
            <w:pPr>
              <w:pStyle w:val="Heading1"/>
              <w:jc w:val="center"/>
            </w:pPr>
          </w:p>
          <w:p w14:paraId="5958EE7B" w14:textId="77777777" w:rsidR="00A812B3" w:rsidRPr="00F85B35" w:rsidRDefault="00A812B3" w:rsidP="00A812B3"/>
          <w:p w14:paraId="43C1BA67" w14:textId="77777777" w:rsidR="00A812B3" w:rsidRPr="00F85B35" w:rsidRDefault="002F0372" w:rsidP="00A812B3">
            <w:pPr>
              <w:jc w:val="center"/>
              <w:rPr>
                <w:b/>
              </w:rPr>
            </w:pPr>
            <w:r w:rsidRPr="00F85B35">
              <w:rPr>
                <w:b/>
              </w:rPr>
              <w:t>Line</w:t>
            </w:r>
          </w:p>
          <w:p w14:paraId="7A18D376" w14:textId="77777777" w:rsidR="00A812B3" w:rsidRPr="00F85B35" w:rsidRDefault="00A812B3" w:rsidP="00A812B3">
            <w:pPr>
              <w:jc w:val="center"/>
              <w:rPr>
                <w:b/>
              </w:rPr>
            </w:pPr>
            <w:r w:rsidRPr="00F85B35">
              <w:rPr>
                <w:b/>
              </w:rPr>
              <w:t>number</w:t>
            </w:r>
          </w:p>
          <w:p w14:paraId="2575521A" w14:textId="77777777" w:rsidR="00A812B3" w:rsidRPr="00F85B35" w:rsidRDefault="00A812B3" w:rsidP="00A812B3">
            <w:pPr>
              <w:jc w:val="center"/>
              <w:rPr>
                <w:b/>
              </w:rPr>
            </w:pPr>
          </w:p>
          <w:p w14:paraId="20DB6938" w14:textId="77777777" w:rsidR="00A812B3" w:rsidRPr="00F85B35" w:rsidRDefault="00A812B3" w:rsidP="00A812B3">
            <w:pPr>
              <w:jc w:val="center"/>
              <w:rPr>
                <w:b/>
              </w:rPr>
            </w:pPr>
            <w:r w:rsidRPr="00F85B35">
              <w:rPr>
                <w:sz w:val="18"/>
              </w:rPr>
              <w:t xml:space="preserve"> or </w:t>
            </w:r>
            <w:r w:rsidRPr="00F85B35">
              <w:rPr>
                <w:b/>
                <w:bCs/>
                <w:sz w:val="18"/>
                <w:u w:val="single"/>
              </w:rPr>
              <w:t>‘general’</w:t>
            </w:r>
            <w:r w:rsidRPr="00F85B35">
              <w:rPr>
                <w:sz w:val="18"/>
              </w:rPr>
              <w:t xml:space="preserve"> </w:t>
            </w:r>
            <w:r w:rsidR="00676CE4" w:rsidRPr="00F85B35">
              <w:rPr>
                <w:sz w:val="18"/>
              </w:rPr>
              <w:t>for</w:t>
            </w:r>
            <w:r w:rsidRPr="00F85B35">
              <w:rPr>
                <w:sz w:val="18"/>
              </w:rPr>
              <w:t xml:space="preserve"> comment</w:t>
            </w:r>
            <w:r w:rsidR="00676CE4" w:rsidRPr="00F85B35">
              <w:rPr>
                <w:sz w:val="18"/>
              </w:rPr>
              <w:t>s</w:t>
            </w:r>
            <w:r w:rsidRPr="00F85B35">
              <w:rPr>
                <w:sz w:val="18"/>
              </w:rPr>
              <w:t xml:space="preserve"> </w:t>
            </w:r>
            <w:r w:rsidR="00676CE4" w:rsidRPr="00F85B35">
              <w:rPr>
                <w:sz w:val="18"/>
              </w:rPr>
              <w:t>on</w:t>
            </w:r>
            <w:r w:rsidRPr="00F85B35">
              <w:rPr>
                <w:sz w:val="18"/>
              </w:rPr>
              <w:t xml:space="preserve"> the whole document</w:t>
            </w:r>
          </w:p>
        </w:tc>
        <w:tc>
          <w:tcPr>
            <w:tcW w:w="6201" w:type="dxa"/>
            <w:tcBorders>
              <w:top w:val="double" w:sz="4" w:space="0" w:color="auto"/>
              <w:left w:val="single" w:sz="4" w:space="0" w:color="auto"/>
              <w:bottom w:val="single" w:sz="4" w:space="0" w:color="auto"/>
              <w:right w:val="double" w:sz="4" w:space="0" w:color="auto"/>
            </w:tcBorders>
            <w:shd w:val="clear" w:color="auto" w:fill="E6E6E6"/>
          </w:tcPr>
          <w:p w14:paraId="1C603E8C" w14:textId="77777777" w:rsidR="00A812B3" w:rsidRPr="00F85B35" w:rsidRDefault="00A812B3">
            <w:pPr>
              <w:pStyle w:val="Heading1"/>
              <w:jc w:val="center"/>
            </w:pPr>
          </w:p>
          <w:p w14:paraId="334C32FD" w14:textId="77777777" w:rsidR="00A812B3" w:rsidRPr="00F85B35" w:rsidRDefault="00A812B3">
            <w:pPr>
              <w:pStyle w:val="Heading1"/>
              <w:jc w:val="center"/>
              <w:rPr>
                <w:sz w:val="24"/>
              </w:rPr>
            </w:pPr>
            <w:r w:rsidRPr="00F85B35">
              <w:rPr>
                <w:sz w:val="24"/>
              </w:rPr>
              <w:t>Comments</w:t>
            </w:r>
          </w:p>
          <w:p w14:paraId="0D4CDB3F" w14:textId="77777777" w:rsidR="00A812B3" w:rsidRPr="00F85B35" w:rsidRDefault="00A812B3">
            <w:pPr>
              <w:rPr>
                <w:sz w:val="24"/>
              </w:rPr>
            </w:pPr>
          </w:p>
          <w:p w14:paraId="5883B05D" w14:textId="77777777" w:rsidR="00A812B3" w:rsidRPr="00F85B35" w:rsidRDefault="00C97473">
            <w:pPr>
              <w:jc w:val="center"/>
              <w:rPr>
                <w:sz w:val="24"/>
              </w:rPr>
            </w:pPr>
            <w:r w:rsidRPr="00F85B35">
              <w:rPr>
                <w:sz w:val="24"/>
              </w:rPr>
              <w:t>I</w:t>
            </w:r>
            <w:r w:rsidR="00A812B3" w:rsidRPr="00F85B35">
              <w:rPr>
                <w:sz w:val="24"/>
              </w:rPr>
              <w:t>nsert each comment in a new row.</w:t>
            </w:r>
          </w:p>
          <w:p w14:paraId="4F11CDA1" w14:textId="77777777" w:rsidR="00A812B3" w:rsidRPr="00F85B35" w:rsidRDefault="00A812B3">
            <w:pPr>
              <w:jc w:val="center"/>
              <w:rPr>
                <w:sz w:val="24"/>
              </w:rPr>
            </w:pPr>
          </w:p>
          <w:p w14:paraId="790A7E44" w14:textId="77777777" w:rsidR="00A812B3" w:rsidRPr="00F85B35" w:rsidRDefault="00C97473">
            <w:pPr>
              <w:jc w:val="center"/>
            </w:pPr>
            <w:r w:rsidRPr="00F85B35">
              <w:rPr>
                <w:sz w:val="24"/>
              </w:rPr>
              <w:t>D</w:t>
            </w:r>
            <w:r w:rsidR="00A812B3" w:rsidRPr="00F85B35">
              <w:rPr>
                <w:sz w:val="24"/>
              </w:rPr>
              <w:t>o not paste other tables into this table, as your comments could get lost – type directly into this table</w:t>
            </w:r>
            <w:r w:rsidR="00B070BA" w:rsidRPr="00F85B35">
              <w:rPr>
                <w:sz w:val="24"/>
              </w:rPr>
              <w:t>.</w:t>
            </w:r>
          </w:p>
        </w:tc>
      </w:tr>
      <w:tr w:rsidR="00F85B35" w:rsidRPr="00F85B35" w14:paraId="08062201" w14:textId="77777777" w:rsidTr="003A06AF">
        <w:trPr>
          <w:trHeight w:val="325"/>
        </w:trPr>
        <w:tc>
          <w:tcPr>
            <w:tcW w:w="1276" w:type="dxa"/>
            <w:tcBorders>
              <w:top w:val="single" w:sz="4" w:space="0" w:color="auto"/>
            </w:tcBorders>
          </w:tcPr>
          <w:p w14:paraId="2A0281DE" w14:textId="77777777" w:rsidR="00A812B3" w:rsidRPr="00F85B35" w:rsidRDefault="00A812B3" w:rsidP="0044012A">
            <w:pPr>
              <w:jc w:val="center"/>
              <w:rPr>
                <w:sz w:val="20"/>
              </w:rPr>
            </w:pPr>
            <w:r w:rsidRPr="00F85B35">
              <w:rPr>
                <w:sz w:val="20"/>
              </w:rPr>
              <w:t>Example</w:t>
            </w:r>
          </w:p>
        </w:tc>
        <w:tc>
          <w:tcPr>
            <w:tcW w:w="1276" w:type="dxa"/>
            <w:tcBorders>
              <w:top w:val="single" w:sz="4" w:space="0" w:color="auto"/>
            </w:tcBorders>
          </w:tcPr>
          <w:p w14:paraId="3D3CD9D8" w14:textId="77777777" w:rsidR="00A812B3" w:rsidRPr="00F85B35" w:rsidRDefault="006F43E2" w:rsidP="006777EA">
            <w:pPr>
              <w:jc w:val="center"/>
              <w:rPr>
                <w:sz w:val="20"/>
              </w:rPr>
            </w:pPr>
            <w:r w:rsidRPr="00F85B35">
              <w:rPr>
                <w:sz w:val="20"/>
              </w:rPr>
              <w:t>3</w:t>
            </w:r>
          </w:p>
        </w:tc>
        <w:tc>
          <w:tcPr>
            <w:tcW w:w="1276" w:type="dxa"/>
            <w:tcBorders>
              <w:top w:val="single" w:sz="4" w:space="0" w:color="auto"/>
            </w:tcBorders>
          </w:tcPr>
          <w:p w14:paraId="627E1626" w14:textId="77777777" w:rsidR="00A812B3" w:rsidRPr="00F85B35" w:rsidRDefault="000D4EA3">
            <w:pPr>
              <w:rPr>
                <w:sz w:val="20"/>
              </w:rPr>
            </w:pPr>
            <w:r w:rsidRPr="00F85B35">
              <w:rPr>
                <w:sz w:val="20"/>
              </w:rPr>
              <w:t>55</w:t>
            </w:r>
          </w:p>
        </w:tc>
        <w:tc>
          <w:tcPr>
            <w:tcW w:w="6201" w:type="dxa"/>
            <w:tcBorders>
              <w:top w:val="single" w:sz="4" w:space="0" w:color="auto"/>
            </w:tcBorders>
          </w:tcPr>
          <w:p w14:paraId="1A24921D" w14:textId="77777777" w:rsidR="00A812B3" w:rsidRPr="00F85B35" w:rsidRDefault="00A812B3">
            <w:pPr>
              <w:rPr>
                <w:sz w:val="20"/>
              </w:rPr>
            </w:pPr>
            <w:r w:rsidRPr="00F85B35">
              <w:rPr>
                <w:sz w:val="20"/>
              </w:rPr>
              <w:t>The draft scope currently excludes people who have already been diagnosed. We feel this group should be included because….</w:t>
            </w:r>
          </w:p>
        </w:tc>
      </w:tr>
      <w:tr w:rsidR="00F85B35" w:rsidRPr="00F85B35" w14:paraId="081B3ABD" w14:textId="77777777" w:rsidTr="003A06AF">
        <w:tc>
          <w:tcPr>
            <w:tcW w:w="10029" w:type="dxa"/>
            <w:gridSpan w:val="4"/>
            <w:tcBorders>
              <w:top w:val="single" w:sz="4" w:space="0" w:color="auto"/>
            </w:tcBorders>
          </w:tcPr>
          <w:p w14:paraId="6E532E11" w14:textId="77777777" w:rsidR="00A812B3" w:rsidRPr="00F85B35" w:rsidRDefault="00A812B3">
            <w:pPr>
              <w:rPr>
                <w:b/>
                <w:sz w:val="20"/>
              </w:rPr>
            </w:pPr>
          </w:p>
        </w:tc>
      </w:tr>
      <w:tr w:rsidR="00F85B35" w:rsidRPr="00F85B35" w14:paraId="69A7F524" w14:textId="77777777" w:rsidTr="003A06AF">
        <w:tc>
          <w:tcPr>
            <w:tcW w:w="1276" w:type="dxa"/>
            <w:tcBorders>
              <w:top w:val="single" w:sz="4" w:space="0" w:color="auto"/>
            </w:tcBorders>
          </w:tcPr>
          <w:p w14:paraId="17A9222E" w14:textId="77777777" w:rsidR="00A812B3" w:rsidRPr="00F85B35" w:rsidRDefault="00A812B3" w:rsidP="0044012A">
            <w:pPr>
              <w:jc w:val="center"/>
              <w:rPr>
                <w:sz w:val="20"/>
              </w:rPr>
            </w:pPr>
            <w:r w:rsidRPr="00F85B35">
              <w:rPr>
                <w:sz w:val="20"/>
              </w:rPr>
              <w:t>1</w:t>
            </w:r>
          </w:p>
        </w:tc>
        <w:tc>
          <w:tcPr>
            <w:tcW w:w="1276" w:type="dxa"/>
            <w:tcBorders>
              <w:top w:val="single" w:sz="4" w:space="0" w:color="auto"/>
            </w:tcBorders>
          </w:tcPr>
          <w:p w14:paraId="4E90F70E" w14:textId="77777777" w:rsidR="00A812B3" w:rsidRPr="00F85B35" w:rsidRDefault="00666026" w:rsidP="00274768">
            <w:pPr>
              <w:rPr>
                <w:rFonts w:cs="Arial"/>
                <w:sz w:val="20"/>
              </w:rPr>
            </w:pPr>
            <w:r w:rsidRPr="00F85B35">
              <w:rPr>
                <w:rFonts w:cs="Arial"/>
                <w:sz w:val="20"/>
              </w:rPr>
              <w:t xml:space="preserve">General </w:t>
            </w:r>
          </w:p>
        </w:tc>
        <w:tc>
          <w:tcPr>
            <w:tcW w:w="1276" w:type="dxa"/>
            <w:tcBorders>
              <w:top w:val="single" w:sz="4" w:space="0" w:color="auto"/>
            </w:tcBorders>
          </w:tcPr>
          <w:p w14:paraId="2A62C4B4" w14:textId="77777777" w:rsidR="00A812B3" w:rsidRPr="00F85B35" w:rsidRDefault="00666026" w:rsidP="00274768">
            <w:pPr>
              <w:rPr>
                <w:rFonts w:cs="Arial"/>
                <w:sz w:val="20"/>
              </w:rPr>
            </w:pPr>
            <w:r w:rsidRPr="00F85B35">
              <w:rPr>
                <w:rFonts w:cs="Arial"/>
                <w:sz w:val="20"/>
              </w:rPr>
              <w:t>General (Summary)</w:t>
            </w:r>
          </w:p>
        </w:tc>
        <w:tc>
          <w:tcPr>
            <w:tcW w:w="6201" w:type="dxa"/>
            <w:tcBorders>
              <w:top w:val="single" w:sz="4" w:space="0" w:color="auto"/>
            </w:tcBorders>
          </w:tcPr>
          <w:p w14:paraId="2A210775" w14:textId="77777777" w:rsidR="00666026" w:rsidRPr="00F85B35" w:rsidRDefault="00666026" w:rsidP="00666026">
            <w:pPr>
              <w:rPr>
                <w:rFonts w:cs="Arial"/>
                <w:b/>
                <w:u w:val="single"/>
              </w:rPr>
            </w:pPr>
            <w:r w:rsidRPr="00F85B35">
              <w:rPr>
                <w:rFonts w:cs="Arial"/>
                <w:b/>
                <w:u w:val="single"/>
              </w:rPr>
              <w:t xml:space="preserve">SUMMARY </w:t>
            </w:r>
          </w:p>
          <w:p w14:paraId="5027D3B7" w14:textId="77777777" w:rsidR="00FE5F1E" w:rsidRPr="00F85B35" w:rsidRDefault="00FE5F1E" w:rsidP="00666026">
            <w:pPr>
              <w:rPr>
                <w:rFonts w:cs="Arial"/>
                <w:b/>
                <w:u w:val="single"/>
              </w:rPr>
            </w:pPr>
          </w:p>
          <w:p w14:paraId="22F206DF" w14:textId="77777777" w:rsidR="00666026" w:rsidRPr="00F85B35" w:rsidRDefault="00666026" w:rsidP="00666026">
            <w:pPr>
              <w:rPr>
                <w:rFonts w:cs="Arial"/>
              </w:rPr>
            </w:pPr>
            <w:r w:rsidRPr="00F85B35">
              <w:rPr>
                <w:rFonts w:cs="Arial"/>
              </w:rPr>
              <w:t>The adult hearing service (audiology) includes hearing assessments which are classified as a physiological diagnostic service</w:t>
            </w:r>
            <w:r w:rsidRPr="00F85B35">
              <w:rPr>
                <w:rStyle w:val="EndnoteReference"/>
                <w:rFonts w:cs="Arial"/>
              </w:rPr>
              <w:endnoteReference w:id="2"/>
            </w:r>
            <w:r w:rsidRPr="00F85B35">
              <w:rPr>
                <w:rFonts w:cs="Arial"/>
              </w:rPr>
              <w:t xml:space="preserve"> and therefore fall under the scope of this guideline. </w:t>
            </w:r>
          </w:p>
          <w:p w14:paraId="39FE685D" w14:textId="77777777" w:rsidR="00FE5F1E" w:rsidRPr="00F85B35" w:rsidRDefault="00FE5F1E" w:rsidP="00666026">
            <w:pPr>
              <w:rPr>
                <w:rFonts w:cs="Arial"/>
              </w:rPr>
            </w:pPr>
          </w:p>
          <w:p w14:paraId="6FF678F8" w14:textId="77777777" w:rsidR="00666026" w:rsidRPr="00F85B35" w:rsidRDefault="00666026" w:rsidP="00666026">
            <w:pPr>
              <w:rPr>
                <w:rFonts w:cs="Arial"/>
              </w:rPr>
            </w:pPr>
            <w:r w:rsidRPr="00F85B35">
              <w:rPr>
                <w:rFonts w:cs="Arial"/>
              </w:rPr>
              <w:t xml:space="preserve">We hope that the Committee working on this guideline will </w:t>
            </w:r>
          </w:p>
          <w:p w14:paraId="5D8BC358" w14:textId="77777777" w:rsidR="00FE5F1E" w:rsidRPr="00F85B35" w:rsidRDefault="00FE5F1E" w:rsidP="00666026">
            <w:pPr>
              <w:rPr>
                <w:rFonts w:cs="Arial"/>
              </w:rPr>
            </w:pPr>
          </w:p>
          <w:p w14:paraId="55D1ED8B" w14:textId="77777777" w:rsidR="00666026" w:rsidRPr="00F85B35" w:rsidRDefault="00666026" w:rsidP="00666026">
            <w:pPr>
              <w:pStyle w:val="ListParagraph"/>
              <w:numPr>
                <w:ilvl w:val="0"/>
                <w:numId w:val="11"/>
              </w:numPr>
              <w:rPr>
                <w:rFonts w:ascii="Arial" w:hAnsi="Arial" w:cs="Arial"/>
              </w:rPr>
            </w:pPr>
            <w:r w:rsidRPr="00F85B35">
              <w:rPr>
                <w:rFonts w:ascii="Arial" w:hAnsi="Arial" w:cs="Arial"/>
              </w:rPr>
              <w:t>find this evidence-based submission helpful and consider using adult hearing assessments as a clear example of a diagnostic service that should be delivered outside hospital, close-to-home in community-based facilities</w:t>
            </w:r>
          </w:p>
          <w:p w14:paraId="7192E0E2" w14:textId="77777777" w:rsidR="00666026" w:rsidRPr="00F85B35" w:rsidRDefault="00666026" w:rsidP="00666026">
            <w:pPr>
              <w:pStyle w:val="ListParagraph"/>
              <w:ind w:left="360"/>
              <w:rPr>
                <w:rFonts w:ascii="Arial" w:hAnsi="Arial" w:cs="Arial"/>
              </w:rPr>
            </w:pPr>
          </w:p>
          <w:p w14:paraId="2ACA33D1" w14:textId="77777777" w:rsidR="00666026" w:rsidRPr="00F85B35" w:rsidRDefault="00666026" w:rsidP="00666026">
            <w:pPr>
              <w:pStyle w:val="ListParagraph"/>
              <w:numPr>
                <w:ilvl w:val="0"/>
                <w:numId w:val="11"/>
              </w:numPr>
              <w:spacing w:after="0"/>
              <w:rPr>
                <w:rFonts w:ascii="Arial" w:hAnsi="Arial" w:cs="Arial"/>
              </w:rPr>
            </w:pPr>
            <w:r w:rsidRPr="00F85B35">
              <w:rPr>
                <w:rFonts w:ascii="Arial" w:hAnsi="Arial" w:cs="Arial"/>
              </w:rPr>
              <w:t xml:space="preserve">take steps to ensure that the final guideline is not used to preserve an outdated hospital based model of care, where this is no longer justified on cost, access or outcome grounds. </w:t>
            </w:r>
          </w:p>
          <w:p w14:paraId="2A329A31" w14:textId="77777777" w:rsidR="00666026" w:rsidRPr="00F85B35" w:rsidRDefault="00666026" w:rsidP="00666026">
            <w:pPr>
              <w:contextualSpacing/>
              <w:rPr>
                <w:rFonts w:cs="Arial"/>
              </w:rPr>
            </w:pPr>
          </w:p>
          <w:p w14:paraId="7252054B" w14:textId="77777777" w:rsidR="00666026" w:rsidRPr="00F85B35" w:rsidRDefault="00666026" w:rsidP="00666026">
            <w:pPr>
              <w:pStyle w:val="ListParagraph"/>
              <w:spacing w:after="0"/>
              <w:ind w:left="360"/>
              <w:rPr>
                <w:rFonts w:ascii="Arial" w:hAnsi="Arial" w:cs="Arial"/>
              </w:rPr>
            </w:pPr>
            <w:r w:rsidRPr="00F85B35">
              <w:rPr>
                <w:rFonts w:ascii="Arial" w:hAnsi="Arial" w:cs="Arial"/>
              </w:rPr>
              <w:t>For example patient groups and the Department of Health have long supported calls to deliver diagnostics for adult hearing loss outside hospital</w:t>
            </w:r>
            <w:r w:rsidRPr="00F85B35">
              <w:rPr>
                <w:rStyle w:val="EndnoteReference"/>
                <w:rFonts w:cs="Arial"/>
              </w:rPr>
              <w:endnoteReference w:id="3"/>
            </w:r>
            <w:r w:rsidRPr="00F85B35">
              <w:rPr>
                <w:rFonts w:ascii="Arial" w:hAnsi="Arial" w:cs="Arial"/>
              </w:rPr>
              <w:t xml:space="preserve">. There is now a </w:t>
            </w:r>
            <w:r w:rsidRPr="00F85B35">
              <w:rPr>
                <w:rFonts w:ascii="Arial" w:hAnsi="Arial" w:cs="Arial"/>
              </w:rPr>
              <w:lastRenderedPageBreak/>
              <w:t>consensus that this can happen and that routine adult hearing assessments should be delivered in primary care settings</w:t>
            </w:r>
            <w:r w:rsidRPr="00F85B35">
              <w:rPr>
                <w:rStyle w:val="EndnoteReference"/>
                <w:rFonts w:cs="Arial"/>
              </w:rPr>
              <w:endnoteReference w:id="4"/>
            </w:r>
            <w:r w:rsidRPr="00F85B35">
              <w:rPr>
                <w:rFonts w:ascii="Arial" w:hAnsi="Arial" w:cs="Arial"/>
              </w:rPr>
              <w:t>. In 2015 Monitor added further evidence to support the case for change when it reported that where community-based hearing care has been commissioned, standards put in place are higher, prices lower by 20-25% per patient and access is improved – including for vulnerable groups</w:t>
            </w:r>
            <w:r w:rsidRPr="00F85B35">
              <w:rPr>
                <w:rStyle w:val="EndnoteReference"/>
                <w:rFonts w:cs="Arial"/>
              </w:rPr>
              <w:endnoteReference w:id="5"/>
            </w:r>
            <w:r w:rsidRPr="00F85B35">
              <w:rPr>
                <w:rFonts w:ascii="Arial" w:hAnsi="Arial" w:cs="Arial"/>
              </w:rPr>
              <w:t xml:space="preserve">. </w:t>
            </w:r>
          </w:p>
          <w:p w14:paraId="4FA1F0A0" w14:textId="77777777" w:rsidR="00666026" w:rsidRPr="00F85B35" w:rsidRDefault="00666026" w:rsidP="00666026">
            <w:pPr>
              <w:pStyle w:val="ListParagraph"/>
              <w:spacing w:after="0"/>
              <w:ind w:left="360"/>
              <w:rPr>
                <w:rFonts w:ascii="Arial" w:hAnsi="Arial" w:cs="Arial"/>
              </w:rPr>
            </w:pPr>
          </w:p>
          <w:p w14:paraId="12991700" w14:textId="77777777" w:rsidR="00666026" w:rsidRPr="00F85B35" w:rsidRDefault="00666026" w:rsidP="00666026">
            <w:pPr>
              <w:pStyle w:val="ListParagraph"/>
              <w:spacing w:after="0"/>
              <w:ind w:left="360"/>
              <w:rPr>
                <w:rFonts w:ascii="Arial" w:hAnsi="Arial" w:cs="Arial"/>
              </w:rPr>
            </w:pPr>
            <w:r w:rsidRPr="00F85B35">
              <w:rPr>
                <w:rFonts w:ascii="Arial" w:hAnsi="Arial" w:cs="Arial"/>
              </w:rPr>
              <w:t>However there has also been longstanding and non-evidence-based opposition to this by entrenched hospital providers</w:t>
            </w:r>
            <w:r w:rsidRPr="00F85B35">
              <w:rPr>
                <w:rStyle w:val="EndnoteReference"/>
                <w:rFonts w:cs="Arial"/>
              </w:rPr>
              <w:endnoteReference w:id="6"/>
            </w:r>
            <w:r w:rsidRPr="00F85B35">
              <w:rPr>
                <w:rFonts w:ascii="Arial" w:hAnsi="Arial" w:cs="Arial"/>
              </w:rPr>
              <w:t>, this despite evidence that most hospital audiologists also agree that providing audiology closer to home benefits patients</w:t>
            </w:r>
            <w:r w:rsidRPr="00F85B35">
              <w:rPr>
                <w:rStyle w:val="EndnoteReference"/>
                <w:rFonts w:cs="Arial"/>
              </w:rPr>
              <w:endnoteReference w:id="7"/>
            </w:r>
            <w:r w:rsidRPr="00F85B35">
              <w:rPr>
                <w:rFonts w:ascii="Arial" w:hAnsi="Arial" w:cs="Arial"/>
              </w:rPr>
              <w:t xml:space="preserve">. </w:t>
            </w:r>
          </w:p>
          <w:p w14:paraId="16140B8E" w14:textId="77777777" w:rsidR="00666026" w:rsidRPr="00F85B35" w:rsidRDefault="00666026" w:rsidP="00666026">
            <w:pPr>
              <w:rPr>
                <w:rFonts w:cs="Arial"/>
              </w:rPr>
            </w:pPr>
          </w:p>
          <w:p w14:paraId="1A0C150A" w14:textId="5A5B988F" w:rsidR="00666026" w:rsidRPr="00F85B35" w:rsidRDefault="00666026" w:rsidP="00666026">
            <w:pPr>
              <w:pStyle w:val="ListParagraph"/>
              <w:spacing w:after="0"/>
              <w:ind w:left="360"/>
              <w:rPr>
                <w:rFonts w:ascii="Arial" w:hAnsi="Arial" w:cs="Arial"/>
              </w:rPr>
            </w:pPr>
            <w:r w:rsidRPr="00F85B35">
              <w:rPr>
                <w:rFonts w:ascii="Arial" w:hAnsi="Arial" w:cs="Arial"/>
              </w:rPr>
              <w:t>The adult hearing service is, in our view, a good case study for why policy and evidence-based leadership is required alongside this guideline in order to tackle vested interests and ensure th</w:t>
            </w:r>
            <w:r w:rsidR="00F15534" w:rsidRPr="00F85B35">
              <w:rPr>
                <w:rFonts w:ascii="Arial" w:hAnsi="Arial" w:cs="Arial"/>
              </w:rPr>
              <w:t>at</w:t>
            </w:r>
            <w:r w:rsidRPr="00F85B35">
              <w:rPr>
                <w:rFonts w:ascii="Arial" w:hAnsi="Arial" w:cs="Arial"/>
              </w:rPr>
              <w:t xml:space="preserve"> optimal and cost-effective outcomes are achieved for all service users  - i.e. that the final guideline is used to facilitate evidence-based change, not as a barrier against it. We therefore ask that the Committee consider the unintended consequences of making broad recommendations on diagnostics without service specificity and how this could impede rather than promote improvement.</w:t>
            </w:r>
          </w:p>
          <w:p w14:paraId="5C8FDAED" w14:textId="77777777" w:rsidR="00666026" w:rsidRPr="00F85B35" w:rsidRDefault="00666026" w:rsidP="00666026">
            <w:pPr>
              <w:pStyle w:val="ListParagraph"/>
              <w:spacing w:after="0"/>
              <w:ind w:left="360"/>
              <w:rPr>
                <w:rFonts w:ascii="Arial" w:hAnsi="Arial" w:cs="Arial"/>
              </w:rPr>
            </w:pPr>
          </w:p>
          <w:p w14:paraId="15CE9C14" w14:textId="77777777" w:rsidR="00666026" w:rsidRPr="00F85B35" w:rsidRDefault="00666026" w:rsidP="00666026">
            <w:pPr>
              <w:pStyle w:val="ListParagraph"/>
              <w:numPr>
                <w:ilvl w:val="0"/>
                <w:numId w:val="11"/>
              </w:numPr>
              <w:rPr>
                <w:rFonts w:ascii="Arial" w:hAnsi="Arial" w:cs="Arial"/>
              </w:rPr>
            </w:pPr>
            <w:r w:rsidRPr="00F85B35">
              <w:rPr>
                <w:rFonts w:ascii="Arial" w:hAnsi="Arial" w:cs="Arial"/>
              </w:rPr>
              <w:t>ensure that particular care is taken when assessing the economic case for diagnostics because of the broad span of services involved. Any cost-effectiveness analysis (CEA) for diagnostics might therefore be very limited in terms of its usefulness, transferabilit</w:t>
            </w:r>
            <w:r w:rsidR="00A35BE6" w:rsidRPr="00F85B35">
              <w:rPr>
                <w:rFonts w:ascii="Arial" w:hAnsi="Arial" w:cs="Arial"/>
              </w:rPr>
              <w:t>y and generalis</w:t>
            </w:r>
            <w:r w:rsidRPr="00F85B35">
              <w:rPr>
                <w:rFonts w:ascii="Arial" w:hAnsi="Arial" w:cs="Arial"/>
              </w:rPr>
              <w:t>ability</w:t>
            </w:r>
            <w:r w:rsidRPr="00F85B35">
              <w:rPr>
                <w:rStyle w:val="FootnoteReference"/>
                <w:rFonts w:ascii="Arial" w:hAnsi="Arial" w:cs="Arial"/>
              </w:rPr>
              <w:footnoteReference w:id="2"/>
            </w:r>
            <w:r w:rsidRPr="00F85B35">
              <w:rPr>
                <w:rFonts w:ascii="Arial" w:hAnsi="Arial" w:cs="Arial"/>
              </w:rPr>
              <w:t xml:space="preserve">. </w:t>
            </w:r>
          </w:p>
          <w:p w14:paraId="324666E9" w14:textId="77777777" w:rsidR="00666026" w:rsidRPr="00F85B35" w:rsidRDefault="00666026" w:rsidP="00666026">
            <w:pPr>
              <w:rPr>
                <w:rFonts w:cs="Arial"/>
              </w:rPr>
            </w:pPr>
            <w:r w:rsidRPr="00F85B35">
              <w:rPr>
                <w:rFonts w:cs="Arial"/>
              </w:rPr>
              <w:t>We would be happy to work with NICE on this guideline and to answer any questions linked to this submission. In particular we would be happy to meet NICE and discuss what lessons from audiology might be transferable to other areas of diagnostics in terms of cost-effectiveness and health quality management.</w:t>
            </w:r>
          </w:p>
          <w:p w14:paraId="51E6C299" w14:textId="77777777" w:rsidR="00B532AB" w:rsidRPr="00F85B35" w:rsidRDefault="00B532AB" w:rsidP="00666026">
            <w:pPr>
              <w:rPr>
                <w:rFonts w:cs="Arial"/>
              </w:rPr>
            </w:pPr>
          </w:p>
          <w:p w14:paraId="1CC44C23" w14:textId="77777777" w:rsidR="00A4382E" w:rsidRPr="00F85B35" w:rsidRDefault="00A4382E" w:rsidP="00666026">
            <w:pPr>
              <w:rPr>
                <w:rFonts w:cs="Arial"/>
                <w:b/>
                <w:i/>
              </w:rPr>
            </w:pPr>
          </w:p>
          <w:p w14:paraId="31A9AB6A" w14:textId="77777777" w:rsidR="00A4382E" w:rsidRPr="00F85B35" w:rsidRDefault="00A4382E" w:rsidP="00666026">
            <w:pPr>
              <w:rPr>
                <w:rFonts w:cs="Arial"/>
                <w:b/>
                <w:i/>
              </w:rPr>
            </w:pPr>
          </w:p>
          <w:p w14:paraId="5521CD09" w14:textId="77777777" w:rsidR="00666026" w:rsidRPr="00F85B35" w:rsidRDefault="00666026" w:rsidP="00666026">
            <w:pPr>
              <w:rPr>
                <w:rFonts w:cs="Arial"/>
                <w:b/>
                <w:i/>
              </w:rPr>
            </w:pPr>
            <w:r w:rsidRPr="00F85B35">
              <w:rPr>
                <w:rFonts w:cs="Arial"/>
                <w:b/>
                <w:i/>
              </w:rPr>
              <w:lastRenderedPageBreak/>
              <w:t xml:space="preserve">Hearing loss and our recommendations </w:t>
            </w:r>
          </w:p>
          <w:p w14:paraId="0CC3AFB5" w14:textId="77777777" w:rsidR="00FE5F1E" w:rsidRPr="00F85B35" w:rsidRDefault="00FE5F1E" w:rsidP="00666026">
            <w:pPr>
              <w:rPr>
                <w:rFonts w:cs="Arial"/>
                <w:b/>
                <w:i/>
              </w:rPr>
            </w:pPr>
          </w:p>
          <w:p w14:paraId="4A3879A3" w14:textId="77777777" w:rsidR="00666026" w:rsidRPr="00F85B35" w:rsidRDefault="00666026" w:rsidP="00666026">
            <w:pPr>
              <w:rPr>
                <w:rFonts w:cs="Arial"/>
              </w:rPr>
            </w:pPr>
            <w:r w:rsidRPr="00F85B35">
              <w:rPr>
                <w:rFonts w:cs="Arial"/>
              </w:rPr>
              <w:t>Today, there are an estimated 3.8 million adults with undiagnosed hearing loss in England</w:t>
            </w:r>
            <w:r w:rsidRPr="00F85B35">
              <w:rPr>
                <w:rStyle w:val="EndnoteReference"/>
                <w:rFonts w:cs="Arial"/>
              </w:rPr>
              <w:endnoteReference w:id="8"/>
            </w:r>
            <w:r w:rsidRPr="00F85B35">
              <w:rPr>
                <w:rFonts w:cs="Arial"/>
              </w:rPr>
              <w:t>. The diagnostic service for adult hearing loss cannot be decoupled in a cost-effective way from the three-year patient pathway. Instead the NHS can diagnose more patients with hearing loss for any given budget by using the better value community-based three-year package of care, rather than non-mandated hospital activity based tariff (i.e. tackle undiagnosed hearing loss in a more cost-effective way)</w:t>
            </w:r>
            <w:r w:rsidRPr="00F85B35">
              <w:rPr>
                <w:rStyle w:val="EndnoteReference"/>
                <w:rFonts w:cs="Arial"/>
              </w:rPr>
              <w:endnoteReference w:id="9"/>
            </w:r>
            <w:r w:rsidRPr="00F85B35">
              <w:rPr>
                <w:rFonts w:cs="Arial"/>
              </w:rPr>
              <w:t xml:space="preserve">. </w:t>
            </w:r>
          </w:p>
          <w:p w14:paraId="739F359B" w14:textId="77777777" w:rsidR="00FE5F1E" w:rsidRPr="00F85B35" w:rsidRDefault="00FE5F1E" w:rsidP="00666026">
            <w:pPr>
              <w:rPr>
                <w:rFonts w:cs="Arial"/>
              </w:rPr>
            </w:pPr>
          </w:p>
          <w:p w14:paraId="3DD881E1" w14:textId="141C2088" w:rsidR="00666026" w:rsidRPr="00F85B35" w:rsidRDefault="00666026" w:rsidP="00666026">
            <w:pPr>
              <w:rPr>
                <w:rFonts w:cs="Arial"/>
              </w:rPr>
            </w:pPr>
            <w:r w:rsidRPr="00F85B35">
              <w:rPr>
                <w:rFonts w:cs="Arial"/>
              </w:rPr>
              <w:t xml:space="preserve">Despite the evidence showing that the vast majority of </w:t>
            </w:r>
            <w:r w:rsidR="00137319" w:rsidRPr="00F85B35">
              <w:rPr>
                <w:rFonts w:cs="Arial"/>
              </w:rPr>
              <w:t>adults</w:t>
            </w:r>
            <w:r w:rsidRPr="00F85B35">
              <w:rPr>
                <w:rFonts w:cs="Arial"/>
              </w:rPr>
              <w:t xml:space="preserve"> with hearing loss (90%) don’t need to see a doctor, or attend ENT or hospital for their hearing loss</w:t>
            </w:r>
            <w:r w:rsidRPr="00F85B35">
              <w:rPr>
                <w:rStyle w:val="EndnoteReference"/>
                <w:rFonts w:cs="Arial"/>
              </w:rPr>
              <w:endnoteReference w:id="10"/>
            </w:r>
            <w:r w:rsidRPr="00F85B35">
              <w:rPr>
                <w:rFonts w:cs="Arial"/>
              </w:rPr>
              <w:t>, hospitals continue to provide the vast majority of diagnostic tests for adults with hearing difficulties</w:t>
            </w:r>
            <w:r w:rsidRPr="00F85B35">
              <w:rPr>
                <w:rStyle w:val="EndnoteReference"/>
                <w:rFonts w:cs="Arial"/>
              </w:rPr>
              <w:endnoteReference w:id="11"/>
            </w:r>
            <w:r w:rsidRPr="00F85B35">
              <w:rPr>
                <w:rFonts w:cs="Arial"/>
              </w:rPr>
              <w:t>. There is not only unacceptable variation in access to these diagnostic services</w:t>
            </w:r>
            <w:r w:rsidRPr="00F85B35">
              <w:rPr>
                <w:rStyle w:val="EndnoteReference"/>
                <w:rFonts w:cs="Arial"/>
              </w:rPr>
              <w:endnoteReference w:id="12"/>
            </w:r>
            <w:r w:rsidRPr="00F85B35">
              <w:rPr>
                <w:rFonts w:cs="Arial"/>
              </w:rPr>
              <w:t xml:space="preserve"> but also variation in standards and prices</w:t>
            </w:r>
            <w:r w:rsidRPr="00F85B35">
              <w:rPr>
                <w:rStyle w:val="EndnoteReference"/>
                <w:rFonts w:cs="Arial"/>
              </w:rPr>
              <w:endnoteReference w:id="13"/>
            </w:r>
            <w:r w:rsidRPr="00F85B35">
              <w:rPr>
                <w:rFonts w:cs="Arial"/>
              </w:rPr>
              <w:t xml:space="preserve"> and this, despite hospital audiology staff working </w:t>
            </w:r>
            <w:r w:rsidR="00A35BE6" w:rsidRPr="00F85B35">
              <w:t>beyond capacity</w:t>
            </w:r>
            <w:r w:rsidRPr="00F85B35">
              <w:rPr>
                <w:rFonts w:cs="Arial"/>
              </w:rPr>
              <w:t>, and feeling pressurised and overworked.</w:t>
            </w:r>
          </w:p>
          <w:p w14:paraId="35FB7745" w14:textId="77777777" w:rsidR="00FE5F1E" w:rsidRPr="00F85B35" w:rsidRDefault="00FE5F1E" w:rsidP="00666026">
            <w:pPr>
              <w:rPr>
                <w:rFonts w:cs="Arial"/>
              </w:rPr>
            </w:pPr>
          </w:p>
          <w:p w14:paraId="0B1B6670" w14:textId="6D286791" w:rsidR="00666026" w:rsidRPr="00F85B35" w:rsidRDefault="00666026" w:rsidP="00666026">
            <w:pPr>
              <w:rPr>
                <w:rFonts w:cs="Arial"/>
              </w:rPr>
            </w:pPr>
            <w:r w:rsidRPr="00F85B35">
              <w:rPr>
                <w:rFonts w:cs="Arial"/>
              </w:rPr>
              <w:t>We estimate that at least 450,000 adult  hearing assessments - 1.8 and 2.3 million hospital contacts for audiology – each year should be commissioned out of hospital and delivered at lower cost in the community</w:t>
            </w:r>
            <w:r w:rsidRPr="00F85B35">
              <w:rPr>
                <w:rStyle w:val="EndnoteReference"/>
                <w:rFonts w:cs="Arial"/>
              </w:rPr>
              <w:endnoteReference w:id="14"/>
            </w:r>
            <w:r w:rsidRPr="00F85B35">
              <w:rPr>
                <w:rFonts w:cs="Arial"/>
                <w:vertAlign w:val="superscript"/>
              </w:rPr>
              <w:t>,</w:t>
            </w:r>
            <w:r w:rsidRPr="00F85B35">
              <w:rPr>
                <w:rStyle w:val="EndnoteReference"/>
                <w:rFonts w:cs="Arial"/>
              </w:rPr>
              <w:endnoteReference w:id="15"/>
            </w:r>
            <w:r w:rsidRPr="00F85B35">
              <w:rPr>
                <w:rFonts w:cs="Arial"/>
              </w:rPr>
              <w:t xml:space="preserve">. The evidence shows that this would reduce </w:t>
            </w:r>
            <w:r w:rsidR="00BD06C4">
              <w:rPr>
                <w:rFonts w:cs="Arial"/>
              </w:rPr>
              <w:t xml:space="preserve">distance travelled (and hence </w:t>
            </w:r>
            <w:r w:rsidRPr="00F85B35">
              <w:rPr>
                <w:rFonts w:cs="Arial"/>
              </w:rPr>
              <w:t>travel costs</w:t>
            </w:r>
            <w:r w:rsidR="00BD06C4">
              <w:rPr>
                <w:rFonts w:cs="Arial"/>
              </w:rPr>
              <w:t>)</w:t>
            </w:r>
            <w:r w:rsidRPr="00F85B35">
              <w:rPr>
                <w:rFonts w:cs="Arial"/>
              </w:rPr>
              <w:t xml:space="preserve"> for service users (who are on average aged 70 and over)</w:t>
            </w:r>
            <w:r w:rsidRPr="00F85B35">
              <w:rPr>
                <w:rStyle w:val="EndnoteReference"/>
                <w:rFonts w:cs="Arial"/>
              </w:rPr>
              <w:endnoteReference w:id="16"/>
            </w:r>
            <w:r w:rsidRPr="00F85B35">
              <w:rPr>
                <w:rFonts w:cs="Arial"/>
              </w:rPr>
              <w:t>, and save the NHS 20-25% per patient whilst improving standards and equity in access</w:t>
            </w:r>
            <w:r w:rsidRPr="00F85B35">
              <w:rPr>
                <w:rStyle w:val="EndnoteReference"/>
                <w:rFonts w:cs="Arial"/>
              </w:rPr>
              <w:endnoteReference w:id="17"/>
            </w:r>
            <w:r w:rsidRPr="00F85B35">
              <w:rPr>
                <w:rFonts w:cs="Arial"/>
              </w:rPr>
              <w:t xml:space="preserve"> - i.e. there is a clear economic and clinical case to transform hearing care.</w:t>
            </w:r>
          </w:p>
          <w:p w14:paraId="35359E65" w14:textId="77777777" w:rsidR="00FE5F1E" w:rsidRPr="00F85B35" w:rsidRDefault="00FE5F1E" w:rsidP="00666026">
            <w:pPr>
              <w:rPr>
                <w:rFonts w:cs="Arial"/>
              </w:rPr>
            </w:pPr>
          </w:p>
          <w:p w14:paraId="650A5C02" w14:textId="45270254" w:rsidR="00666026" w:rsidRPr="00F85B35" w:rsidRDefault="00666026" w:rsidP="00666026">
            <w:pPr>
              <w:rPr>
                <w:rFonts w:cs="Arial"/>
              </w:rPr>
            </w:pPr>
            <w:r w:rsidRPr="00F85B35">
              <w:rPr>
                <w:rFonts w:cs="Arial"/>
              </w:rPr>
              <w:t>The longstanding resistance to moving diagnostic services for adult hearing out of hospital therefore needs to be challenged in an evidence-based way. Capacity in hospitals is scarce and comes at significant opportunity costs. In our view this is why NICE needs to consider adult hearing assessments alongside the entire adult hearing pathway and safeguard against general guidance on diagnostics which could be misused to frustrate much needed change in adult hearing care. It is based on the evidence provided in our submission</w:t>
            </w:r>
            <w:r w:rsidR="003C1E9E">
              <w:rPr>
                <w:rFonts w:cs="Arial"/>
              </w:rPr>
              <w:t xml:space="preserve"> </w:t>
            </w:r>
            <w:r w:rsidRPr="00F85B35">
              <w:rPr>
                <w:rFonts w:cs="Arial"/>
              </w:rPr>
              <w:t>that we provide the following overarching feedback:</w:t>
            </w:r>
          </w:p>
          <w:p w14:paraId="5978B854" w14:textId="77777777" w:rsidR="00FE5F1E" w:rsidRPr="00F85B35" w:rsidRDefault="00FE5F1E" w:rsidP="00666026">
            <w:pPr>
              <w:rPr>
                <w:rFonts w:cs="Arial"/>
              </w:rPr>
            </w:pPr>
          </w:p>
          <w:p w14:paraId="50658D3B" w14:textId="77777777" w:rsidR="00375A46" w:rsidRDefault="00666026" w:rsidP="00666026">
            <w:pPr>
              <w:pStyle w:val="ListParagraph"/>
              <w:numPr>
                <w:ilvl w:val="0"/>
                <w:numId w:val="10"/>
              </w:numPr>
              <w:ind w:left="360"/>
              <w:rPr>
                <w:rFonts w:ascii="Arial" w:hAnsi="Arial" w:cs="Arial"/>
              </w:rPr>
            </w:pPr>
            <w:r w:rsidRPr="00375A46">
              <w:rPr>
                <w:rFonts w:ascii="Arial" w:hAnsi="Arial" w:cs="Arial"/>
                <w:i/>
              </w:rPr>
              <w:t>“What and how services are grouped together”</w:t>
            </w:r>
            <w:r w:rsidR="00375A46">
              <w:rPr>
                <w:rFonts w:ascii="Arial" w:hAnsi="Arial" w:cs="Arial"/>
              </w:rPr>
              <w:t xml:space="preserve"> (line 51): </w:t>
            </w:r>
          </w:p>
          <w:p w14:paraId="770D65D9" w14:textId="77777777" w:rsidR="00375A46" w:rsidRDefault="00375A46" w:rsidP="00375A46">
            <w:pPr>
              <w:pStyle w:val="ListParagraph"/>
              <w:ind w:left="360"/>
              <w:rPr>
                <w:rFonts w:ascii="Arial" w:hAnsi="Arial" w:cs="Arial"/>
                <w:i/>
              </w:rPr>
            </w:pPr>
          </w:p>
          <w:p w14:paraId="58092852" w14:textId="77777777" w:rsidR="00375A46" w:rsidRDefault="00375A46" w:rsidP="00375A46">
            <w:pPr>
              <w:pStyle w:val="ListParagraph"/>
              <w:ind w:left="360"/>
              <w:rPr>
                <w:rFonts w:ascii="Arial" w:hAnsi="Arial" w:cs="Arial"/>
              </w:rPr>
            </w:pPr>
            <w:r>
              <w:rPr>
                <w:rFonts w:ascii="Arial" w:hAnsi="Arial" w:cs="Arial"/>
              </w:rPr>
              <w:t>W</w:t>
            </w:r>
            <w:r w:rsidR="00666026" w:rsidRPr="00F85B35">
              <w:rPr>
                <w:rFonts w:ascii="Arial" w:hAnsi="Arial" w:cs="Arial"/>
              </w:rPr>
              <w:t xml:space="preserve">e caution against non-evidenced based grouping, especially where this is done on the basis of provider </w:t>
            </w:r>
            <w:r w:rsidR="00666026" w:rsidRPr="00F85B35">
              <w:rPr>
                <w:rFonts w:ascii="Arial" w:hAnsi="Arial" w:cs="Arial"/>
              </w:rPr>
              <w:lastRenderedPageBreak/>
              <w:t xml:space="preserve">convenience, system inertia, resistance to modernisation or to protect market share and revenue rather than improve patient outcomes and cost-effectiveness. </w:t>
            </w:r>
          </w:p>
          <w:p w14:paraId="6B55ECF2" w14:textId="77777777" w:rsidR="00375A46" w:rsidRDefault="00375A46" w:rsidP="00375A46">
            <w:pPr>
              <w:pStyle w:val="ListParagraph"/>
              <w:ind w:left="360"/>
              <w:rPr>
                <w:rFonts w:ascii="Arial" w:hAnsi="Arial" w:cs="Arial"/>
              </w:rPr>
            </w:pPr>
          </w:p>
          <w:p w14:paraId="0744552C" w14:textId="5A6FFCD1" w:rsidR="00666026" w:rsidRPr="00F85B35" w:rsidRDefault="00666026" w:rsidP="00375A46">
            <w:pPr>
              <w:pStyle w:val="ListParagraph"/>
              <w:ind w:left="360"/>
              <w:rPr>
                <w:rFonts w:ascii="Arial" w:hAnsi="Arial" w:cs="Arial"/>
              </w:rPr>
            </w:pPr>
            <w:r w:rsidRPr="00F85B35">
              <w:rPr>
                <w:rFonts w:ascii="Arial" w:hAnsi="Arial" w:cs="Arial"/>
              </w:rPr>
              <w:t>There is a high risk that, unless NICE takes active steps to avoid this, non-evidence based grouping will continue to occur in audiology</w:t>
            </w:r>
            <w:r w:rsidR="00375A46">
              <w:rPr>
                <w:rFonts w:ascii="Arial" w:hAnsi="Arial" w:cs="Arial"/>
              </w:rPr>
              <w:t>,</w:t>
            </w:r>
            <w:r w:rsidRPr="00F85B35">
              <w:rPr>
                <w:rFonts w:ascii="Arial" w:hAnsi="Arial" w:cs="Arial"/>
              </w:rPr>
              <w:t xml:space="preserve"> as will the negative impact on patients (adults and children) which is well-documented.</w:t>
            </w:r>
          </w:p>
          <w:p w14:paraId="6384269D" w14:textId="77777777" w:rsidR="00666026" w:rsidRPr="00F85B35" w:rsidRDefault="00666026" w:rsidP="00666026">
            <w:pPr>
              <w:pStyle w:val="ListParagraph"/>
              <w:ind w:left="360"/>
              <w:rPr>
                <w:rFonts w:ascii="Arial" w:hAnsi="Arial" w:cs="Arial"/>
              </w:rPr>
            </w:pPr>
          </w:p>
          <w:p w14:paraId="5FCA46A0" w14:textId="77777777" w:rsidR="00666026" w:rsidRPr="00375A46" w:rsidRDefault="00666026" w:rsidP="00666026">
            <w:pPr>
              <w:pStyle w:val="ListParagraph"/>
              <w:numPr>
                <w:ilvl w:val="0"/>
                <w:numId w:val="10"/>
              </w:numPr>
              <w:spacing w:after="0"/>
              <w:ind w:left="360"/>
              <w:rPr>
                <w:rFonts w:ascii="Arial" w:hAnsi="Arial" w:cs="Arial"/>
                <w:i/>
              </w:rPr>
            </w:pPr>
            <w:r w:rsidRPr="00375A46">
              <w:rPr>
                <w:rFonts w:ascii="Arial" w:hAnsi="Arial" w:cs="Arial"/>
                <w:i/>
              </w:rPr>
              <w:t>“Where services are delivered” (line 54), “Who should provide and deliver services” (line 53) and “When services should be available” (line 55).</w:t>
            </w:r>
          </w:p>
          <w:p w14:paraId="6E04500C" w14:textId="77777777" w:rsidR="00666026" w:rsidRPr="00F85B35" w:rsidRDefault="00666026" w:rsidP="00666026">
            <w:pPr>
              <w:contextualSpacing/>
              <w:rPr>
                <w:rFonts w:cs="Arial"/>
              </w:rPr>
            </w:pPr>
          </w:p>
          <w:p w14:paraId="367FDA17" w14:textId="1E937044" w:rsidR="00666026" w:rsidRPr="00F85B35" w:rsidRDefault="00666026" w:rsidP="00666026">
            <w:pPr>
              <w:pStyle w:val="ListParagraph"/>
              <w:spacing w:after="0"/>
              <w:ind w:left="360"/>
              <w:rPr>
                <w:rFonts w:ascii="Arial" w:hAnsi="Arial" w:cs="Arial"/>
              </w:rPr>
            </w:pPr>
            <w:r w:rsidRPr="00F85B35">
              <w:rPr>
                <w:rFonts w:ascii="Arial" w:hAnsi="Arial" w:cs="Arial"/>
              </w:rPr>
              <w:t>Diagnostics for hearing loss should be delivered in the community, and outside of hospital just as for GP, oral health and eye health diagnostics.  We therefore invite NICE to ensure that patients and taxpayers are put first, and that providers are challenged if they make non-evidence based claims that shifting diagnostics into the community will harm other services – in audiology there is no evidence to support this. Based on NHS reference cost data, non-mandated hospital tariffs, community-based tariffs, available service specifications, Monitor’s review of the adult hearing service, and the Department of Health and NHS England Action Plan on Hearing Loss, the consensus of evidence is that diagnostics for adults with hearing loss should be provided in the community and outside of hospital. Patient groups since the 1980s, the Department of Health since 2007, and the NHS most recently have all supported this aim</w:t>
            </w:r>
            <w:r w:rsidRPr="00F85B35">
              <w:rPr>
                <w:rStyle w:val="EndnoteReference"/>
                <w:rFonts w:cs="Arial"/>
              </w:rPr>
              <w:endnoteReference w:id="18"/>
            </w:r>
            <w:r w:rsidRPr="00F85B35">
              <w:rPr>
                <w:rFonts w:ascii="Arial" w:hAnsi="Arial" w:cs="Arial"/>
              </w:rPr>
              <w:t>.</w:t>
            </w:r>
          </w:p>
          <w:p w14:paraId="61DE7666" w14:textId="77777777" w:rsidR="00666026" w:rsidRPr="00F85B35" w:rsidRDefault="00666026" w:rsidP="00666026">
            <w:pPr>
              <w:pStyle w:val="ListParagraph"/>
              <w:ind w:left="360"/>
              <w:rPr>
                <w:rFonts w:ascii="Arial" w:hAnsi="Arial" w:cs="Arial"/>
              </w:rPr>
            </w:pPr>
          </w:p>
          <w:p w14:paraId="2E71234A" w14:textId="77777777" w:rsidR="00666026" w:rsidRPr="00F85B35" w:rsidRDefault="00666026" w:rsidP="00666026">
            <w:pPr>
              <w:pStyle w:val="ListParagraph"/>
              <w:ind w:left="360"/>
              <w:rPr>
                <w:rFonts w:ascii="Arial" w:hAnsi="Arial" w:cs="Arial"/>
              </w:rPr>
            </w:pPr>
            <w:r w:rsidRPr="00F85B35">
              <w:rPr>
                <w:rFonts w:ascii="Arial" w:hAnsi="Arial" w:cs="Arial"/>
              </w:rPr>
              <w:t>The type of provider is not relevant.  There is no credible evidence that any particular type of provider should or should not provide diagnostics for adult hearing loss. Rather an evidence and risk based approach favours community provision irrespective of provider (traditional NHS, ISP). Here we feel that lessons from hearing care will be transferable to other diagnostic services. It is helpful then that Monitor has reviewed the Department of Health’s Any Qualified Provider (AQP) policy and shown that it is an efficient way to commission diagnostic services outside of hospital from the most suitable, qualified and accessible providers.</w:t>
            </w:r>
          </w:p>
          <w:p w14:paraId="45638781" w14:textId="77777777" w:rsidR="00666026" w:rsidRPr="00F85B35" w:rsidRDefault="00666026" w:rsidP="00666026">
            <w:pPr>
              <w:pStyle w:val="ListParagraph"/>
              <w:ind w:left="360"/>
              <w:rPr>
                <w:rFonts w:ascii="Arial" w:hAnsi="Arial" w:cs="Arial"/>
              </w:rPr>
            </w:pPr>
          </w:p>
          <w:p w14:paraId="16522D7E" w14:textId="77777777" w:rsidR="00A812B3" w:rsidRPr="00F85B35" w:rsidRDefault="00666026" w:rsidP="00FE5F1E">
            <w:pPr>
              <w:pStyle w:val="ListParagraph"/>
              <w:ind w:left="360"/>
              <w:rPr>
                <w:rFonts w:ascii="Arial" w:hAnsi="Arial" w:cs="Arial"/>
              </w:rPr>
            </w:pPr>
            <w:r w:rsidRPr="00F85B35">
              <w:rPr>
                <w:rFonts w:ascii="Arial" w:hAnsi="Arial" w:cs="Arial"/>
              </w:rPr>
              <w:t xml:space="preserve">Services should be available based on clinical need and/or patient preferences – in our view, as with eye care </w:t>
            </w:r>
            <w:r w:rsidRPr="00F85B35">
              <w:rPr>
                <w:rFonts w:ascii="Arial" w:hAnsi="Arial" w:cs="Arial"/>
              </w:rPr>
              <w:lastRenderedPageBreak/>
              <w:t xml:space="preserve">today, diagnostic services for hearing loss should be available close to home and when patients want to access them. In many cases people will demand access to hearing care at least six days a week. If NHS England and the Department of Health provide community providers with some assurance that NHS commissioners will make evidence-based decisions and fair playing field guidance will be enforced, then community-based providers will be able to invest in additional weekend and evening clinics without increasing the marginal cost per patient for the NHS. </w:t>
            </w:r>
          </w:p>
        </w:tc>
      </w:tr>
      <w:tr w:rsidR="00F85B35" w:rsidRPr="00F85B35" w14:paraId="494CE025" w14:textId="77777777" w:rsidTr="003A06AF">
        <w:tc>
          <w:tcPr>
            <w:tcW w:w="1276" w:type="dxa"/>
            <w:tcBorders>
              <w:top w:val="single" w:sz="4" w:space="0" w:color="auto"/>
            </w:tcBorders>
          </w:tcPr>
          <w:p w14:paraId="6B745306" w14:textId="77777777" w:rsidR="00A812B3" w:rsidRPr="00F85B35" w:rsidRDefault="00A812B3" w:rsidP="0044012A">
            <w:pPr>
              <w:jc w:val="center"/>
              <w:rPr>
                <w:sz w:val="20"/>
              </w:rPr>
            </w:pPr>
            <w:r w:rsidRPr="00F85B35">
              <w:rPr>
                <w:sz w:val="20"/>
              </w:rPr>
              <w:lastRenderedPageBreak/>
              <w:t>2</w:t>
            </w:r>
          </w:p>
        </w:tc>
        <w:tc>
          <w:tcPr>
            <w:tcW w:w="1276" w:type="dxa"/>
            <w:tcBorders>
              <w:top w:val="single" w:sz="4" w:space="0" w:color="auto"/>
            </w:tcBorders>
          </w:tcPr>
          <w:p w14:paraId="68A1EB10" w14:textId="77777777" w:rsidR="00A812B3" w:rsidRPr="00F85B35" w:rsidRDefault="00FE5F1E" w:rsidP="00274768">
            <w:pPr>
              <w:rPr>
                <w:rFonts w:cs="Arial"/>
                <w:sz w:val="20"/>
              </w:rPr>
            </w:pPr>
            <w:r w:rsidRPr="00F85B35">
              <w:rPr>
                <w:rFonts w:cs="Arial"/>
                <w:sz w:val="20"/>
              </w:rPr>
              <w:t>Question 1.1</w:t>
            </w:r>
          </w:p>
        </w:tc>
        <w:tc>
          <w:tcPr>
            <w:tcW w:w="1276" w:type="dxa"/>
            <w:tcBorders>
              <w:top w:val="single" w:sz="4" w:space="0" w:color="auto"/>
            </w:tcBorders>
          </w:tcPr>
          <w:p w14:paraId="26C3B595" w14:textId="77777777" w:rsidR="00A812B3" w:rsidRPr="00F85B35" w:rsidRDefault="00BF2A30" w:rsidP="00274768">
            <w:pPr>
              <w:rPr>
                <w:rFonts w:cs="Arial"/>
                <w:sz w:val="20"/>
              </w:rPr>
            </w:pPr>
            <w:r w:rsidRPr="00F85B35">
              <w:rPr>
                <w:rFonts w:cs="Arial"/>
                <w:sz w:val="20"/>
              </w:rPr>
              <w:t>84-85</w:t>
            </w:r>
          </w:p>
        </w:tc>
        <w:tc>
          <w:tcPr>
            <w:tcW w:w="6201" w:type="dxa"/>
            <w:tcBorders>
              <w:top w:val="single" w:sz="4" w:space="0" w:color="auto"/>
            </w:tcBorders>
          </w:tcPr>
          <w:p w14:paraId="3D19D6C4" w14:textId="77777777" w:rsidR="00FE5F1E" w:rsidRPr="00F85B35" w:rsidRDefault="00FE5F1E" w:rsidP="00FE5F1E">
            <w:pPr>
              <w:rPr>
                <w:rFonts w:cs="Arial"/>
              </w:rPr>
            </w:pPr>
            <w:r w:rsidRPr="00F85B35">
              <w:rPr>
                <w:rFonts w:cs="Arial"/>
              </w:rPr>
              <w:t xml:space="preserve">Diagnostics services include, and are linked to, many disparate services and therefore in our view there are no universal principles that apply to all diagnostics. To conclude otherwise would be a false syllogism. We are concerned therefore that that the scope of the current guideline is too ambitious and there is a moderate to significant risk that it will end up confusing rather than helping the groups listed (lines 37-42 p.2). </w:t>
            </w:r>
          </w:p>
          <w:p w14:paraId="2350FB8A" w14:textId="77777777" w:rsidR="00FE5F1E" w:rsidRPr="00F85B35" w:rsidRDefault="00FE5F1E" w:rsidP="00FE5F1E">
            <w:pPr>
              <w:rPr>
                <w:rFonts w:cs="Arial"/>
              </w:rPr>
            </w:pPr>
          </w:p>
          <w:p w14:paraId="74CEAAE8" w14:textId="77777777" w:rsidR="00FE5F1E" w:rsidRPr="00F85B35" w:rsidRDefault="00FE5F1E" w:rsidP="00FE5F1E">
            <w:pPr>
              <w:rPr>
                <w:rFonts w:cs="Arial"/>
              </w:rPr>
            </w:pPr>
            <w:r w:rsidRPr="00F85B35">
              <w:rPr>
                <w:rFonts w:cs="Arial"/>
              </w:rPr>
              <w:t>Nevertheless, in order to support NICE in this ambitious work programme, we focus our submission on audiology, which falls under physiological diagnostic services</w:t>
            </w:r>
            <w:r w:rsidRPr="00F85B35">
              <w:rPr>
                <w:rStyle w:val="EndnoteReference"/>
                <w:rFonts w:cs="Arial"/>
              </w:rPr>
              <w:endnoteReference w:id="19"/>
            </w:r>
            <w:r w:rsidRPr="00F85B35">
              <w:rPr>
                <w:rFonts w:cs="Arial"/>
              </w:rPr>
              <w:t>.</w:t>
            </w:r>
          </w:p>
          <w:p w14:paraId="377F74F4" w14:textId="77777777" w:rsidR="00FE5F1E" w:rsidRPr="00F85B35" w:rsidRDefault="00FE5F1E" w:rsidP="00FE5F1E">
            <w:pPr>
              <w:rPr>
                <w:rFonts w:cs="Arial"/>
              </w:rPr>
            </w:pPr>
          </w:p>
          <w:p w14:paraId="2FB6730F" w14:textId="77777777" w:rsidR="00FE5F1E" w:rsidRPr="00F85B35" w:rsidRDefault="00FE5F1E" w:rsidP="00FE5F1E">
            <w:pPr>
              <w:rPr>
                <w:rFonts w:cs="Arial"/>
                <w:b/>
                <w:i/>
              </w:rPr>
            </w:pPr>
            <w:r w:rsidRPr="00F85B35">
              <w:rPr>
                <w:rFonts w:cs="Arial"/>
                <w:b/>
                <w:i/>
              </w:rPr>
              <w:t xml:space="preserve">Physiological diagnostic services – audiology </w:t>
            </w:r>
          </w:p>
          <w:p w14:paraId="0568C5B1" w14:textId="77777777" w:rsidR="00FE5F1E" w:rsidRPr="00F85B35" w:rsidRDefault="00FE5F1E" w:rsidP="00FE5F1E">
            <w:pPr>
              <w:rPr>
                <w:rFonts w:cs="Arial"/>
                <w:b/>
                <w:i/>
              </w:rPr>
            </w:pPr>
          </w:p>
          <w:p w14:paraId="1F74D678" w14:textId="77777777" w:rsidR="00FE5F1E" w:rsidRPr="00F85B35" w:rsidRDefault="00FE5F1E" w:rsidP="00FE5F1E">
            <w:pPr>
              <w:rPr>
                <w:rFonts w:cs="Arial"/>
              </w:rPr>
            </w:pPr>
            <w:r w:rsidRPr="00F85B35">
              <w:rPr>
                <w:rFonts w:cs="Arial"/>
              </w:rPr>
              <w:t>NICE refers to the NHS Atlas of Variation (line 166, page 7).  Adult hearing assessments are reported in the Atlas of Variation</w:t>
            </w:r>
            <w:r w:rsidRPr="00F85B35">
              <w:rPr>
                <w:rStyle w:val="EndnoteReference"/>
                <w:rFonts w:cs="Arial"/>
              </w:rPr>
              <w:endnoteReference w:id="20"/>
            </w:r>
            <w:r w:rsidRPr="00F85B35">
              <w:rPr>
                <w:rFonts w:cs="Arial"/>
              </w:rPr>
              <w:t xml:space="preserve">. We agree with NICE that not all stakeholders understand the causes of variation in quality of diagnostic services (lines 166-173, page 7). However we also believe that few stakeholders have been able to take the time to explore possible causes of variation. </w:t>
            </w:r>
          </w:p>
          <w:p w14:paraId="605471CA" w14:textId="77777777" w:rsidR="00FE5F1E" w:rsidRPr="00F85B35" w:rsidRDefault="00FE5F1E" w:rsidP="00FE5F1E">
            <w:pPr>
              <w:rPr>
                <w:rFonts w:cs="Arial"/>
              </w:rPr>
            </w:pPr>
          </w:p>
          <w:p w14:paraId="229E3511" w14:textId="3AFBABCD" w:rsidR="00FE5F1E" w:rsidRPr="00F85B35" w:rsidRDefault="00FE5F1E" w:rsidP="00FE5F1E">
            <w:pPr>
              <w:rPr>
                <w:rFonts w:cs="Arial"/>
              </w:rPr>
            </w:pPr>
            <w:r w:rsidRPr="00F85B35">
              <w:rPr>
                <w:rFonts w:cs="Arial"/>
              </w:rPr>
              <w:t>We t</w:t>
            </w:r>
            <w:r w:rsidR="00871BA5">
              <w:rPr>
                <w:rFonts w:cs="Arial"/>
              </w:rPr>
              <w:t xml:space="preserve">herefore caution against using </w:t>
            </w:r>
            <w:r w:rsidRPr="00F85B35">
              <w:rPr>
                <w:rFonts w:cs="Arial"/>
              </w:rPr>
              <w:t>current fashionable words like “multidisciplinary” and “integrated” when discussing adult hearing services. Instead we ask the Committee to consider the root cause of the current system-wide challenges – i.e. the causes of variation in hearing assessments and quality of services. In our view this will be critical to ensure that the guideline on “Diagnostic services: organisation and delivery” is fit for purpose and genuinely helps the NHS and patient care. To assist with this we hope that the following examples will be useful to the Committee</w:t>
            </w:r>
          </w:p>
          <w:p w14:paraId="2A66891F" w14:textId="77777777" w:rsidR="00FE5F1E" w:rsidRPr="00F85B35" w:rsidRDefault="00FE5F1E" w:rsidP="00FE5F1E">
            <w:pPr>
              <w:rPr>
                <w:rFonts w:cs="Arial"/>
              </w:rPr>
            </w:pPr>
          </w:p>
          <w:p w14:paraId="3AA729BA" w14:textId="51E15D06" w:rsidR="00FE5F1E" w:rsidRPr="00F85B35" w:rsidRDefault="00FE5F1E" w:rsidP="00FE5F1E">
            <w:pPr>
              <w:pStyle w:val="ListParagraph"/>
              <w:numPr>
                <w:ilvl w:val="0"/>
                <w:numId w:val="12"/>
              </w:numPr>
              <w:rPr>
                <w:rFonts w:ascii="Arial" w:hAnsi="Arial" w:cs="Arial"/>
              </w:rPr>
            </w:pPr>
            <w:r w:rsidRPr="00F85B35">
              <w:rPr>
                <w:rFonts w:ascii="Arial" w:hAnsi="Arial" w:cs="Arial"/>
              </w:rPr>
              <w:t xml:space="preserve">in audiology the person performing the diagnostic test is often the same person who  provides rehabilitative </w:t>
            </w:r>
            <w:r w:rsidR="0059781C" w:rsidRPr="00F85B35">
              <w:rPr>
                <w:rFonts w:ascii="Arial" w:hAnsi="Arial" w:cs="Arial"/>
              </w:rPr>
              <w:lastRenderedPageBreak/>
              <w:t xml:space="preserve">intervention and </w:t>
            </w:r>
            <w:r w:rsidRPr="00F85B35">
              <w:rPr>
                <w:rFonts w:ascii="Arial" w:hAnsi="Arial" w:cs="Arial"/>
              </w:rPr>
              <w:t>support (e.g. hearing aids)</w:t>
            </w:r>
            <w:r w:rsidRPr="00F85B35">
              <w:rPr>
                <w:rStyle w:val="FootnoteReference"/>
                <w:rFonts w:ascii="Arial" w:hAnsi="Arial" w:cs="Arial"/>
              </w:rPr>
              <w:footnoteReference w:id="3"/>
            </w:r>
            <w:r w:rsidRPr="00F85B35">
              <w:rPr>
                <w:rFonts w:ascii="Arial" w:hAnsi="Arial" w:cs="Arial"/>
              </w:rPr>
              <w:t>. Consequently how diagnostics are commissioned for audiology can restrict patient choice – e.g. if commissioners only commission diagnostics from hospitals on the unfounded assumption this offers an integrated model of care, then people with non-medical hearing loss (the vast majority) will have to visit hospital for life to get support for their age-related hearing loss. This can cost patients and the NHS more than a community-based model of care (see below)</w:t>
            </w:r>
          </w:p>
          <w:p w14:paraId="39F898A4" w14:textId="77777777" w:rsidR="00FE5F1E" w:rsidRPr="00F85B35" w:rsidRDefault="00FE5F1E" w:rsidP="00FE5F1E">
            <w:pPr>
              <w:pStyle w:val="ListParagraph"/>
              <w:ind w:left="360"/>
              <w:rPr>
                <w:rFonts w:ascii="Arial" w:hAnsi="Arial" w:cs="Arial"/>
              </w:rPr>
            </w:pPr>
          </w:p>
          <w:p w14:paraId="11049DC7" w14:textId="77777777" w:rsidR="00FE5F1E" w:rsidRPr="00F85B35" w:rsidRDefault="00FE5F1E" w:rsidP="00FE5F1E">
            <w:pPr>
              <w:pStyle w:val="ListParagraph"/>
              <w:numPr>
                <w:ilvl w:val="0"/>
                <w:numId w:val="12"/>
              </w:numPr>
              <w:spacing w:after="0" w:line="276" w:lineRule="auto"/>
              <w:rPr>
                <w:rFonts w:ascii="Arial" w:hAnsi="Arial" w:cs="Arial"/>
              </w:rPr>
            </w:pPr>
            <w:r w:rsidRPr="00F85B35">
              <w:rPr>
                <w:rFonts w:ascii="Arial" w:hAnsi="Arial" w:cs="Arial"/>
              </w:rPr>
              <w:t>individual audiologists can and do provide the entire diagnostic and care pathway and current growth in demand is unsustainable for a purely hospital-based model of care.  In the last 10 years activity reported by audiology services has increased by 142%</w:t>
            </w:r>
            <w:r w:rsidRPr="00F85B35">
              <w:rPr>
                <w:rStyle w:val="EndnoteReference"/>
                <w:rFonts w:cs="Arial"/>
              </w:rPr>
              <w:endnoteReference w:id="21"/>
            </w:r>
            <w:r w:rsidRPr="00F85B35">
              <w:rPr>
                <w:rFonts w:ascii="Arial" w:hAnsi="Arial" w:cs="Arial"/>
              </w:rPr>
              <w:t xml:space="preserve"> and there are still an estimated 3.8 million people with unmet hearing needs in England</w:t>
            </w:r>
            <w:r w:rsidRPr="00F85B35">
              <w:rPr>
                <w:rStyle w:val="EndnoteReference"/>
                <w:rFonts w:cs="Arial"/>
              </w:rPr>
              <w:endnoteReference w:id="22"/>
            </w:r>
            <w:r w:rsidRPr="00F85B35">
              <w:rPr>
                <w:rFonts w:ascii="Arial" w:hAnsi="Arial" w:cs="Arial"/>
              </w:rPr>
              <w:t>. Therefore if the final guideline is used to support a hospital model of care for diagnostics on the unfounded assumption that multidisciplinary teams will be delivering integrated care, then the guideline risks causing systems failure in hospital audiology departments.  This is why understanding roles within each subspecialty and current capacity are important aspects of developing this guideline. (Alternatively NICE could provide case studies for commissioners which we would be happy to co-produce e.g. an evidence-based case study for diagnostic hearing services for adults).</w:t>
            </w:r>
          </w:p>
          <w:p w14:paraId="792598BB" w14:textId="77777777" w:rsidR="00FE5F1E" w:rsidRPr="00F85B35" w:rsidRDefault="00FE5F1E" w:rsidP="00FE5F1E">
            <w:pPr>
              <w:spacing w:line="276" w:lineRule="auto"/>
              <w:rPr>
                <w:rFonts w:cs="Arial"/>
              </w:rPr>
            </w:pPr>
          </w:p>
          <w:p w14:paraId="32613C0A" w14:textId="3DC8C033" w:rsidR="00FE5F1E" w:rsidRPr="00F85B35" w:rsidRDefault="00FE5F1E" w:rsidP="00FE5F1E">
            <w:pPr>
              <w:pStyle w:val="ListParagraph"/>
              <w:numPr>
                <w:ilvl w:val="0"/>
                <w:numId w:val="12"/>
              </w:numPr>
              <w:spacing w:after="0" w:line="276" w:lineRule="auto"/>
              <w:rPr>
                <w:rFonts w:ascii="Arial" w:hAnsi="Arial" w:cs="Arial"/>
              </w:rPr>
            </w:pPr>
            <w:r w:rsidRPr="00F85B35">
              <w:rPr>
                <w:rFonts w:ascii="Arial" w:hAnsi="Arial" w:cs="Arial"/>
              </w:rPr>
              <w:t xml:space="preserve">many of the challenges in NHS hearing care today flow from failures by commissioners and traditional providers to follow existing guidance. For example NHS Improvement notes that one key part of delivering quality services is that, </w:t>
            </w:r>
            <w:r w:rsidRPr="006D5505">
              <w:rPr>
                <w:rFonts w:ascii="Arial" w:hAnsi="Arial" w:cs="Arial"/>
                <w:i/>
              </w:rPr>
              <w:t>“capital planning, room capacity and equipment need to be aligned to service need and demand”</w:t>
            </w:r>
            <w:r w:rsidRPr="00F85B35">
              <w:rPr>
                <w:rStyle w:val="EndnoteReference"/>
                <w:rFonts w:cs="Arial"/>
              </w:rPr>
              <w:endnoteReference w:id="23"/>
            </w:r>
            <w:r w:rsidRPr="00F85B35">
              <w:rPr>
                <w:rFonts w:ascii="Arial" w:hAnsi="Arial" w:cs="Arial"/>
              </w:rPr>
              <w:t xml:space="preserve">. If commissioners and hospitals were utilising hospital capacity to its full,  it is unlikely they would be delivering hearing assessments for adults in acute hospitals given this area of diagnostics is very low risk, delivered by technicians and is </w:t>
            </w:r>
            <w:r w:rsidR="008971E3">
              <w:rPr>
                <w:rFonts w:ascii="Arial" w:hAnsi="Arial" w:cs="Arial"/>
              </w:rPr>
              <w:t xml:space="preserve">no more </w:t>
            </w:r>
            <w:r w:rsidRPr="00F85B35">
              <w:rPr>
                <w:rFonts w:ascii="Arial" w:hAnsi="Arial" w:cs="Arial"/>
              </w:rPr>
              <w:t xml:space="preserve">complex than sight tests (which occur in primary care). It is therefore </w:t>
            </w:r>
            <w:r w:rsidRPr="00F85B35">
              <w:rPr>
                <w:rFonts w:ascii="Arial" w:hAnsi="Arial" w:cs="Arial"/>
              </w:rPr>
              <w:lastRenderedPageBreak/>
              <w:t>our view that one driver of variation in audiology assessments in the Atlas of Variation is that there is a capacity constraint and this is because diagnostic services are commissioned, wrongly, based on historical activity rather than, correctly, on modelled local need (e.g. Joint Strategic Needs Assessments).</w:t>
            </w:r>
          </w:p>
          <w:p w14:paraId="57491A15" w14:textId="77777777" w:rsidR="00FE5F1E" w:rsidRPr="00F85B35" w:rsidRDefault="00FE5F1E" w:rsidP="00FE5F1E">
            <w:pPr>
              <w:spacing w:line="276" w:lineRule="auto"/>
              <w:rPr>
                <w:rFonts w:cs="Arial"/>
              </w:rPr>
            </w:pPr>
          </w:p>
          <w:p w14:paraId="2A7A784A" w14:textId="77777777" w:rsidR="00FE5F1E" w:rsidRPr="00F85B35" w:rsidRDefault="00FE5F1E" w:rsidP="00FE5F1E">
            <w:pPr>
              <w:rPr>
                <w:rFonts w:cs="Arial"/>
              </w:rPr>
            </w:pPr>
            <w:r w:rsidRPr="00F85B35">
              <w:rPr>
                <w:rFonts w:cs="Arial"/>
              </w:rPr>
              <w:t xml:space="preserve">We therefore hope that in taking on this ambitious project, NICE will control for complex variables and do all that it can to ensure that its final guidance is not misused to protect out-dated, costly and unsustainable models of care. </w:t>
            </w:r>
          </w:p>
          <w:p w14:paraId="37656E7F" w14:textId="77777777" w:rsidR="00A812B3" w:rsidRPr="00F85B35" w:rsidRDefault="00A812B3" w:rsidP="00274768">
            <w:pPr>
              <w:rPr>
                <w:rFonts w:cs="Arial"/>
                <w:sz w:val="20"/>
              </w:rPr>
            </w:pPr>
          </w:p>
        </w:tc>
      </w:tr>
      <w:tr w:rsidR="00F85B35" w:rsidRPr="00F85B35" w14:paraId="01790339" w14:textId="77777777" w:rsidTr="003A06AF">
        <w:tc>
          <w:tcPr>
            <w:tcW w:w="1276" w:type="dxa"/>
            <w:tcBorders>
              <w:top w:val="single" w:sz="4" w:space="0" w:color="auto"/>
            </w:tcBorders>
          </w:tcPr>
          <w:p w14:paraId="253FB566" w14:textId="77777777" w:rsidR="00A812B3" w:rsidRPr="00F85B35" w:rsidRDefault="00A812B3" w:rsidP="0044012A">
            <w:pPr>
              <w:jc w:val="center"/>
              <w:rPr>
                <w:sz w:val="20"/>
              </w:rPr>
            </w:pPr>
            <w:r w:rsidRPr="00F85B35">
              <w:rPr>
                <w:sz w:val="20"/>
              </w:rPr>
              <w:lastRenderedPageBreak/>
              <w:t>3</w:t>
            </w:r>
          </w:p>
        </w:tc>
        <w:tc>
          <w:tcPr>
            <w:tcW w:w="1276" w:type="dxa"/>
            <w:tcBorders>
              <w:top w:val="single" w:sz="4" w:space="0" w:color="auto"/>
            </w:tcBorders>
          </w:tcPr>
          <w:p w14:paraId="181EC83F" w14:textId="77777777" w:rsidR="00A812B3" w:rsidRPr="00F85B35" w:rsidRDefault="00FE5F1E" w:rsidP="00274768">
            <w:pPr>
              <w:rPr>
                <w:rFonts w:cs="Arial"/>
                <w:sz w:val="20"/>
              </w:rPr>
            </w:pPr>
            <w:r w:rsidRPr="00F85B35">
              <w:rPr>
                <w:rFonts w:cs="Arial"/>
                <w:sz w:val="20"/>
              </w:rPr>
              <w:t>Question 1.2</w:t>
            </w:r>
          </w:p>
        </w:tc>
        <w:tc>
          <w:tcPr>
            <w:tcW w:w="1276" w:type="dxa"/>
            <w:tcBorders>
              <w:top w:val="single" w:sz="4" w:space="0" w:color="auto"/>
            </w:tcBorders>
          </w:tcPr>
          <w:p w14:paraId="6FF4E995" w14:textId="77777777" w:rsidR="00A812B3" w:rsidRPr="00F85B35" w:rsidRDefault="00BF2A30" w:rsidP="00274768">
            <w:pPr>
              <w:rPr>
                <w:rFonts w:cs="Arial"/>
                <w:sz w:val="20"/>
              </w:rPr>
            </w:pPr>
            <w:r w:rsidRPr="00F85B35">
              <w:rPr>
                <w:rFonts w:cs="Arial"/>
                <w:sz w:val="20"/>
              </w:rPr>
              <w:t>86-88</w:t>
            </w:r>
          </w:p>
        </w:tc>
        <w:tc>
          <w:tcPr>
            <w:tcW w:w="6201" w:type="dxa"/>
            <w:tcBorders>
              <w:top w:val="single" w:sz="4" w:space="0" w:color="auto"/>
            </w:tcBorders>
          </w:tcPr>
          <w:p w14:paraId="21B1EB06" w14:textId="77777777" w:rsidR="00FE5F1E" w:rsidRPr="00F85B35" w:rsidRDefault="00FE5F1E" w:rsidP="00FE5F1E">
            <w:pPr>
              <w:rPr>
                <w:rFonts w:cs="Arial"/>
              </w:rPr>
            </w:pPr>
            <w:r w:rsidRPr="00F85B35">
              <w:rPr>
                <w:rFonts w:cs="Arial"/>
              </w:rPr>
              <w:t>Again, there are no universal principles that apply to all diagnostics.</w:t>
            </w:r>
          </w:p>
          <w:p w14:paraId="4191FC41" w14:textId="77777777" w:rsidR="00FE5F1E" w:rsidRPr="00F85B35" w:rsidRDefault="00FE5F1E" w:rsidP="00FE5F1E">
            <w:pPr>
              <w:rPr>
                <w:rFonts w:cs="Arial"/>
              </w:rPr>
            </w:pPr>
          </w:p>
          <w:p w14:paraId="18871080" w14:textId="77777777" w:rsidR="00FE5F1E" w:rsidRPr="00F85B35" w:rsidRDefault="00FE5F1E" w:rsidP="00FE5F1E">
            <w:pPr>
              <w:rPr>
                <w:rFonts w:cs="Arial"/>
                <w:b/>
                <w:i/>
              </w:rPr>
            </w:pPr>
            <w:r w:rsidRPr="00F85B35">
              <w:rPr>
                <w:rFonts w:cs="Arial"/>
                <w:b/>
                <w:i/>
              </w:rPr>
              <w:t xml:space="preserve">Diagnostics – hearing assessments </w:t>
            </w:r>
          </w:p>
          <w:p w14:paraId="1090AB89" w14:textId="77777777" w:rsidR="00FE5F1E" w:rsidRPr="00F85B35" w:rsidRDefault="00FE5F1E" w:rsidP="00FE5F1E">
            <w:pPr>
              <w:rPr>
                <w:rFonts w:cs="Arial"/>
                <w:b/>
                <w:i/>
              </w:rPr>
            </w:pPr>
          </w:p>
          <w:p w14:paraId="1911609E" w14:textId="77777777" w:rsidR="00FE5F1E" w:rsidRPr="00F85B35" w:rsidRDefault="00FE5F1E" w:rsidP="00FE5F1E">
            <w:pPr>
              <w:rPr>
                <w:rFonts w:cs="Arial"/>
              </w:rPr>
            </w:pPr>
            <w:r w:rsidRPr="00F85B35">
              <w:rPr>
                <w:rFonts w:cs="Arial"/>
              </w:rPr>
              <w:t xml:space="preserve">In hearing care many seemingly logical arguments for co-location do not withstand scrutiny. For example hospitals sometimes argue that it is important that children’s and adult hearing assessments are co-located. We believe that there is sufficient evidence to support </w:t>
            </w:r>
            <w:r w:rsidRPr="002943F1">
              <w:rPr>
                <w:rFonts w:cs="Arial"/>
                <w:b/>
                <w:i/>
              </w:rPr>
              <w:t>not</w:t>
            </w:r>
            <w:r w:rsidRPr="002943F1">
              <w:rPr>
                <w:rFonts w:cs="Arial"/>
                <w:b/>
              </w:rPr>
              <w:t xml:space="preserve"> </w:t>
            </w:r>
            <w:r w:rsidRPr="00F85B35">
              <w:rPr>
                <w:rFonts w:cs="Arial"/>
              </w:rPr>
              <w:t>co-locating adult and children’s hearing assessments – including for example that the peer-reviewed literature on health care quality acknowledges that capacity management is a key factor in patient outcomes,  therefore when hospital departments are at capacity because of demand for adult hearing care, there is a significant risk that providers - no matter how hard they try</w:t>
            </w:r>
            <w:r w:rsidRPr="00F85B35">
              <w:rPr>
                <w:rStyle w:val="FootnoteReference"/>
                <w:rFonts w:cs="Arial"/>
              </w:rPr>
              <w:footnoteReference w:id="4"/>
            </w:r>
            <w:r w:rsidRPr="00F85B35">
              <w:rPr>
                <w:rFonts w:cs="Arial"/>
              </w:rPr>
              <w:t xml:space="preserve"> – will not be able to maintain quality for either children or adults (see below). </w:t>
            </w:r>
          </w:p>
          <w:p w14:paraId="4AB44991" w14:textId="77777777" w:rsidR="00FE5F1E" w:rsidRPr="00F85B35" w:rsidRDefault="00FE5F1E" w:rsidP="00FE5F1E">
            <w:pPr>
              <w:rPr>
                <w:rFonts w:cs="Arial"/>
              </w:rPr>
            </w:pPr>
          </w:p>
          <w:p w14:paraId="0177140D" w14:textId="77777777" w:rsidR="00FE5F1E" w:rsidRPr="00F85B35" w:rsidRDefault="00FE5F1E" w:rsidP="00FE5F1E">
            <w:pPr>
              <w:rPr>
                <w:rFonts w:cs="Arial"/>
              </w:rPr>
            </w:pPr>
            <w:r w:rsidRPr="00F85B35">
              <w:rPr>
                <w:rFonts w:cs="Arial"/>
              </w:rPr>
              <w:t xml:space="preserve">One argument in favour of co-location is that clinics need a steady stream of adult patients in order to train audiologists who, once trained, can move on to assessing children. In our view this is misguided. There is no logical reason that millions of older people with a hearing loss should have to travel to hospitals to access a non-medical service simply in order to help train 1,900 non-medical audiologists to a standard that allows some of them to perform diagnostic tests on the far smaller number (thousands) of children who have a hearing loss. Instead, as in eye care, it is possible for audiologists to train in the community and for fewer audiologists to specialise and work in hospitals – this in our view will also help address gaps in quality and reduce costs </w:t>
            </w:r>
            <w:r w:rsidRPr="00F85B35">
              <w:rPr>
                <w:rFonts w:cs="Arial"/>
              </w:rPr>
              <w:lastRenderedPageBreak/>
              <w:t>whilst maintaining career options for audiologists to safeguard future workforce supply.</w:t>
            </w:r>
          </w:p>
          <w:p w14:paraId="5048D811" w14:textId="77777777" w:rsidR="00FE5F1E" w:rsidRPr="00F85B35" w:rsidRDefault="00FE5F1E" w:rsidP="00FE5F1E">
            <w:pPr>
              <w:rPr>
                <w:rFonts w:cs="Arial"/>
              </w:rPr>
            </w:pPr>
          </w:p>
          <w:p w14:paraId="1595D780" w14:textId="77777777" w:rsidR="00FE5F1E" w:rsidRPr="00F85B35" w:rsidRDefault="00FE5F1E" w:rsidP="00FE5F1E">
            <w:pPr>
              <w:rPr>
                <w:rFonts w:cs="Arial"/>
              </w:rPr>
            </w:pPr>
            <w:r w:rsidRPr="00F85B35">
              <w:rPr>
                <w:rFonts w:cs="Arial"/>
              </w:rPr>
              <w:t>Based on annual reference cost data we estimate that by delivering adult hearing services (including diagnostics) in the community, over 1.8-2.3 million hospital contacts for audiology can be delivered outside hospital each year</w:t>
            </w:r>
            <w:r w:rsidRPr="00F85B35">
              <w:rPr>
                <w:rStyle w:val="EndnoteReference"/>
                <w:rFonts w:cs="Arial"/>
              </w:rPr>
              <w:endnoteReference w:id="24"/>
            </w:r>
            <w:r w:rsidRPr="00F85B35">
              <w:rPr>
                <w:rFonts w:cs="Arial"/>
              </w:rPr>
              <w:t>. If the NHS switches from the non-mandated activity-based tariff to the community-based package of care in the long run costs can also be reduced by c.£30 million per annum. This liberated capacity and cost savings could then be used to ease pressure on hard-pressed hospital services</w:t>
            </w:r>
            <w:r w:rsidRPr="00F85B35">
              <w:rPr>
                <w:rStyle w:val="EndnoteReference"/>
                <w:rFonts w:cs="Arial"/>
              </w:rPr>
              <w:endnoteReference w:id="25"/>
            </w:r>
            <w:r w:rsidRPr="00F85B35">
              <w:rPr>
                <w:rFonts w:cs="Arial"/>
              </w:rPr>
              <w:t xml:space="preserve"> and enable them, for example, to address concerns raised by the National Deaf Children’s Society about variation in quality of diagnostics in paediatric audiology across the NHS in England - e.g. where 1 in 3 departments are failing basic quality standards</w:t>
            </w:r>
            <w:r w:rsidRPr="00F85B35">
              <w:rPr>
                <w:rStyle w:val="EndnoteReference"/>
                <w:rFonts w:cs="Arial"/>
              </w:rPr>
              <w:endnoteReference w:id="26"/>
            </w:r>
            <w:r w:rsidRPr="00F85B35">
              <w:rPr>
                <w:rFonts w:cs="Arial"/>
              </w:rPr>
              <w:t>.</w:t>
            </w:r>
          </w:p>
          <w:p w14:paraId="307907D7" w14:textId="77777777" w:rsidR="00FE5F1E" w:rsidRPr="00F85B35" w:rsidRDefault="00FE5F1E" w:rsidP="00FE5F1E">
            <w:pPr>
              <w:rPr>
                <w:rFonts w:cs="Arial"/>
              </w:rPr>
            </w:pPr>
          </w:p>
          <w:p w14:paraId="2E2EA1BE" w14:textId="77777777" w:rsidR="00FE5F1E" w:rsidRPr="00F85B35" w:rsidRDefault="00FE5F1E" w:rsidP="00FE5F1E">
            <w:pPr>
              <w:rPr>
                <w:rFonts w:cs="Arial"/>
              </w:rPr>
            </w:pPr>
            <w:r w:rsidRPr="00F85B35">
              <w:rPr>
                <w:rFonts w:cs="Arial"/>
              </w:rPr>
              <w:t>Another argument that has been made is that co-location of the adult hearing services (audiologists) with medical doctors is important in order to rule out serious pathology as the cause of hearing loss in adults. In our view the decision on whether services should be co-located depends on a range of variables – including prevalence of the underlying condition, risk of differential diagnosis and risks associated with diagnostics themselves, workforce, cost-effectiveness of interventions etc. With respect to diagnostics for adult hearing loss we have been able to find no evidence at all to support the case for co-location with medical teams.</w:t>
            </w:r>
          </w:p>
          <w:p w14:paraId="4DFFB94F" w14:textId="77777777" w:rsidR="00FE5F1E" w:rsidRPr="00F85B35" w:rsidRDefault="00FE5F1E" w:rsidP="00FE5F1E">
            <w:pPr>
              <w:rPr>
                <w:rFonts w:cs="Arial"/>
              </w:rPr>
            </w:pPr>
            <w:r w:rsidRPr="00F85B35">
              <w:rPr>
                <w:rFonts w:cs="Arial"/>
              </w:rPr>
              <w:t xml:space="preserve"> </w:t>
            </w:r>
          </w:p>
          <w:p w14:paraId="6674E9E2" w14:textId="11A03E51" w:rsidR="00FE5F1E" w:rsidRPr="00F85B35" w:rsidRDefault="00FE5F1E" w:rsidP="00FE5F1E">
            <w:pPr>
              <w:rPr>
                <w:rFonts w:cs="Arial"/>
              </w:rPr>
            </w:pPr>
            <w:r w:rsidRPr="00F85B35">
              <w:rPr>
                <w:rFonts w:cs="Arial"/>
              </w:rPr>
              <w:t>This is because the vast majority of hearing assessments performed by audiologists will result in a diagnosis of age-related hearing loss</w:t>
            </w:r>
            <w:r w:rsidRPr="00F85B35">
              <w:rPr>
                <w:rStyle w:val="EndnoteReference"/>
                <w:rFonts w:cs="Arial"/>
              </w:rPr>
              <w:endnoteReference w:id="27"/>
            </w:r>
            <w:r w:rsidRPr="00F85B35">
              <w:rPr>
                <w:rFonts w:cs="Arial"/>
              </w:rPr>
              <w:t>. Age-related hearing loss is a long-term condition and in almost all cases there is no medical or surgical treatment</w:t>
            </w:r>
            <w:r w:rsidRPr="00F85B35">
              <w:rPr>
                <w:rStyle w:val="EndnoteReference"/>
                <w:rFonts w:cs="Arial"/>
              </w:rPr>
              <w:endnoteReference w:id="28"/>
            </w:r>
            <w:r w:rsidRPr="00F85B35">
              <w:rPr>
                <w:rFonts w:cs="Arial"/>
              </w:rPr>
              <w:t>. People that meet nationally agreed referral criteria – the vast majority of people with adult hearing loss – can access NHS hearing care from a non-medically qualified audiologist and do not have to see an Ear, Nose and Throat (ENT) doctor</w:t>
            </w:r>
            <w:r w:rsidRPr="00F85B35">
              <w:rPr>
                <w:rStyle w:val="EndnoteReference"/>
                <w:rFonts w:cs="Arial"/>
              </w:rPr>
              <w:endnoteReference w:id="29"/>
            </w:r>
            <w:r w:rsidRPr="00F85B35">
              <w:rPr>
                <w:rFonts w:cs="Arial"/>
              </w:rPr>
              <w:t xml:space="preserve">. Moreover, referable conditions are readily detected </w:t>
            </w:r>
            <w:r w:rsidR="0059781C" w:rsidRPr="00F85B35">
              <w:rPr>
                <w:rFonts w:cs="Arial"/>
              </w:rPr>
              <w:t xml:space="preserve">and </w:t>
            </w:r>
            <w:r w:rsidR="0059781C" w:rsidRPr="00F85B35">
              <w:t>form part of all community-based audiologists’ training</w:t>
            </w:r>
            <w:r w:rsidR="0059781C" w:rsidRPr="00F85B35">
              <w:rPr>
                <w:rFonts w:cs="Arial"/>
              </w:rPr>
              <w:t xml:space="preserve"> </w:t>
            </w:r>
            <w:r w:rsidRPr="00F85B35">
              <w:rPr>
                <w:rFonts w:cs="Arial"/>
              </w:rPr>
              <w:t>with screening tools and can then be referred on more appropriately if required</w:t>
            </w:r>
            <w:r w:rsidRPr="00F85B35">
              <w:rPr>
                <w:rStyle w:val="EndnoteReference"/>
                <w:rFonts w:cs="Arial"/>
              </w:rPr>
              <w:endnoteReference w:id="30"/>
            </w:r>
            <w:r w:rsidRPr="00F85B35">
              <w:rPr>
                <w:rFonts w:cs="Arial"/>
              </w:rPr>
              <w:t>. Such referrals are seldom so urgent that co-location is a necessity.  Therefore, arguments that adult hearing assessments should be provided in hospital to out rule tumours etc. have no merit based on the epidemiology of disease, differential diagnosis, risk, clinical ability, or cost-benefit analysis</w:t>
            </w:r>
            <w:r w:rsidRPr="00F85B35">
              <w:rPr>
                <w:rStyle w:val="EndnoteReference"/>
                <w:rFonts w:cs="Arial"/>
              </w:rPr>
              <w:endnoteReference w:id="31"/>
            </w:r>
            <w:r w:rsidRPr="00F85B35">
              <w:rPr>
                <w:rFonts w:cs="Arial"/>
              </w:rPr>
              <w:t>.</w:t>
            </w:r>
          </w:p>
          <w:p w14:paraId="2E3D694E" w14:textId="77777777" w:rsidR="00FE5F1E" w:rsidRPr="00F85B35" w:rsidRDefault="00FE5F1E" w:rsidP="00FE5F1E">
            <w:pPr>
              <w:rPr>
                <w:rFonts w:cs="Arial"/>
              </w:rPr>
            </w:pPr>
          </w:p>
          <w:p w14:paraId="04FDA5E3" w14:textId="77777777" w:rsidR="00FE5F1E" w:rsidRPr="00F85B35" w:rsidRDefault="00FE5F1E" w:rsidP="00FE5F1E">
            <w:pPr>
              <w:rPr>
                <w:rFonts w:cs="Arial"/>
              </w:rPr>
            </w:pPr>
            <w:r w:rsidRPr="00F85B35">
              <w:rPr>
                <w:rFonts w:cs="Arial"/>
              </w:rPr>
              <w:lastRenderedPageBreak/>
              <w:t xml:space="preserve">There are also clear benefits for patients with hearing loss when community-based services increase capacity. For example Monitor recently reviewed adult hearing services and found that where community-based providers delivered NHS hearing care Clinical Commissioning Groups (CCGs) had been able to  </w:t>
            </w:r>
          </w:p>
          <w:p w14:paraId="11D1B30F" w14:textId="77777777" w:rsidR="00FE5F1E" w:rsidRPr="00F85B35" w:rsidRDefault="00FE5F1E" w:rsidP="00FE5F1E">
            <w:pPr>
              <w:rPr>
                <w:rFonts w:cs="Arial"/>
              </w:rPr>
            </w:pPr>
          </w:p>
          <w:p w14:paraId="34CF05C4" w14:textId="77777777" w:rsidR="00FE5F1E" w:rsidRPr="00F85B35" w:rsidRDefault="00FE5F1E" w:rsidP="00FE5F1E">
            <w:pPr>
              <w:pStyle w:val="ListParagraph"/>
              <w:numPr>
                <w:ilvl w:val="0"/>
                <w:numId w:val="13"/>
              </w:numPr>
              <w:rPr>
                <w:rFonts w:ascii="Arial" w:hAnsi="Arial" w:cs="Arial"/>
              </w:rPr>
            </w:pPr>
            <w:r w:rsidRPr="00F85B35">
              <w:rPr>
                <w:rFonts w:ascii="Arial" w:hAnsi="Arial" w:cs="Arial"/>
                <w:i/>
              </w:rPr>
              <w:t>“treat more patients for the same spend”</w:t>
            </w:r>
            <w:r w:rsidRPr="00F85B35">
              <w:rPr>
                <w:rStyle w:val="FootnoteReference"/>
                <w:rFonts w:ascii="Arial" w:hAnsi="Arial" w:cs="Arial"/>
              </w:rPr>
              <w:t xml:space="preserve"> </w:t>
            </w:r>
            <w:r w:rsidRPr="00F85B35">
              <w:rPr>
                <w:rStyle w:val="EndnoteReference"/>
                <w:rFonts w:cs="Arial"/>
              </w:rPr>
              <w:endnoteReference w:id="32"/>
            </w:r>
          </w:p>
          <w:p w14:paraId="051CF657" w14:textId="77777777" w:rsidR="00FE5F1E" w:rsidRPr="00F85B35" w:rsidRDefault="00FE5F1E" w:rsidP="00FE5F1E">
            <w:pPr>
              <w:pStyle w:val="ListParagraph"/>
              <w:numPr>
                <w:ilvl w:val="0"/>
                <w:numId w:val="13"/>
              </w:numPr>
              <w:rPr>
                <w:rFonts w:ascii="Arial" w:hAnsi="Arial" w:cs="Arial"/>
              </w:rPr>
            </w:pPr>
            <w:r w:rsidRPr="00F85B35">
              <w:rPr>
                <w:rFonts w:ascii="Arial" w:hAnsi="Arial" w:cs="Arial"/>
              </w:rPr>
              <w:t xml:space="preserve">lower prices by more than 20-25% per patient </w:t>
            </w:r>
          </w:p>
          <w:p w14:paraId="43231BAE" w14:textId="77777777" w:rsidR="00FE5F1E" w:rsidRPr="00F85B35" w:rsidRDefault="00FE5F1E" w:rsidP="00FE5F1E">
            <w:pPr>
              <w:pStyle w:val="ListParagraph"/>
              <w:numPr>
                <w:ilvl w:val="0"/>
                <w:numId w:val="13"/>
              </w:numPr>
              <w:rPr>
                <w:rFonts w:ascii="Arial" w:hAnsi="Arial" w:cs="Arial"/>
              </w:rPr>
            </w:pPr>
            <w:r w:rsidRPr="00F85B35">
              <w:rPr>
                <w:rFonts w:ascii="Arial" w:hAnsi="Arial" w:cs="Arial"/>
              </w:rPr>
              <w:t>improve standards by introducing more robust service specifications since extending choice of provider</w:t>
            </w:r>
            <w:r w:rsidRPr="00F85B35">
              <w:rPr>
                <w:rStyle w:val="EndnoteReference"/>
                <w:rFonts w:cs="Arial"/>
              </w:rPr>
              <w:endnoteReference w:id="33"/>
            </w:r>
            <w:r w:rsidRPr="00F85B35">
              <w:rPr>
                <w:rFonts w:ascii="Arial" w:hAnsi="Arial" w:cs="Arial"/>
              </w:rPr>
              <w:t>.</w:t>
            </w:r>
          </w:p>
          <w:p w14:paraId="34E9C544" w14:textId="77777777" w:rsidR="00FE5F1E" w:rsidRPr="00F85B35" w:rsidRDefault="00FE5F1E" w:rsidP="00FE5F1E">
            <w:pPr>
              <w:rPr>
                <w:rFonts w:cs="Arial"/>
              </w:rPr>
            </w:pPr>
            <w:r w:rsidRPr="00F85B35">
              <w:rPr>
                <w:rFonts w:cs="Arial"/>
              </w:rPr>
              <w:t xml:space="preserve">This in our view provides an important example of how diagnostic services need to be organised and delivered by taking a systems and an evidence-based approach. It is far too easy for example to </w:t>
            </w:r>
          </w:p>
          <w:p w14:paraId="0741A07E" w14:textId="77777777" w:rsidR="00FE5F1E" w:rsidRPr="00F85B35" w:rsidRDefault="00FE5F1E" w:rsidP="00FE5F1E">
            <w:pPr>
              <w:rPr>
                <w:rFonts w:cs="Arial"/>
              </w:rPr>
            </w:pPr>
          </w:p>
          <w:p w14:paraId="7BB6ACA1" w14:textId="77777777" w:rsidR="00FE5F1E" w:rsidRPr="00F85B35" w:rsidRDefault="00FE5F1E" w:rsidP="00FE5F1E">
            <w:pPr>
              <w:pStyle w:val="ListParagraph"/>
              <w:numPr>
                <w:ilvl w:val="0"/>
                <w:numId w:val="11"/>
              </w:numPr>
              <w:rPr>
                <w:rFonts w:ascii="Arial" w:hAnsi="Arial" w:cs="Arial"/>
              </w:rPr>
            </w:pPr>
            <w:r w:rsidRPr="00F85B35">
              <w:rPr>
                <w:rFonts w:ascii="Arial" w:hAnsi="Arial" w:cs="Arial"/>
              </w:rPr>
              <w:t>assume co-locating adult and children hearing services is logical when in fact demand for adult hearing care has increased by 142%</w:t>
            </w:r>
            <w:r w:rsidRPr="00F85B35">
              <w:rPr>
                <w:rStyle w:val="EndnoteReference"/>
                <w:rFonts w:cs="Arial"/>
              </w:rPr>
              <w:endnoteReference w:id="34"/>
            </w:r>
            <w:r w:rsidRPr="00F85B35">
              <w:rPr>
                <w:rFonts w:ascii="Arial" w:hAnsi="Arial" w:cs="Arial"/>
              </w:rPr>
              <w:t xml:space="preserve"> in the last 10 years and there is good reason to believe that this – based on capacity constraints and the peer-reviewed literature on health care quality management – has had a detrimental impact both on patients with age-related hearing loss services and on quality in other areas (such as children’s services)</w:t>
            </w:r>
          </w:p>
          <w:p w14:paraId="2A0998CC" w14:textId="40B3EF95" w:rsidR="00FE5F1E" w:rsidRPr="00F85B35" w:rsidRDefault="00FE5F1E" w:rsidP="00FE5F1E">
            <w:pPr>
              <w:pStyle w:val="ListParagraph"/>
              <w:numPr>
                <w:ilvl w:val="0"/>
                <w:numId w:val="11"/>
              </w:numPr>
              <w:rPr>
                <w:rFonts w:ascii="Arial" w:hAnsi="Arial" w:cs="Arial"/>
              </w:rPr>
            </w:pPr>
            <w:r w:rsidRPr="00F85B35">
              <w:rPr>
                <w:rFonts w:ascii="Arial" w:hAnsi="Arial" w:cs="Arial"/>
              </w:rPr>
              <w:t>believe that there is logic to co-locating services based on the training needs of audiologists, when in fact the vast majority of adults with hearing loss can be diagnosed and managed by a single provider in the community and there is a stronger case to train all audiologists in the community with some specialising in hospital</w:t>
            </w:r>
            <w:r w:rsidR="0059781C" w:rsidRPr="00F85B35">
              <w:rPr>
                <w:rFonts w:ascii="Arial" w:hAnsi="Arial" w:cs="Arial"/>
              </w:rPr>
              <w:t xml:space="preserve"> based clinics</w:t>
            </w:r>
            <w:r w:rsidRPr="00F85B35">
              <w:rPr>
                <w:rFonts w:ascii="Arial" w:hAnsi="Arial" w:cs="Arial"/>
              </w:rPr>
              <w:t xml:space="preserve"> rather than vice versa</w:t>
            </w:r>
          </w:p>
          <w:p w14:paraId="4D378AC6" w14:textId="77777777" w:rsidR="00FE5F1E" w:rsidRPr="00F85B35" w:rsidRDefault="00FE5F1E" w:rsidP="00FE5F1E">
            <w:pPr>
              <w:pStyle w:val="ListParagraph"/>
              <w:numPr>
                <w:ilvl w:val="0"/>
                <w:numId w:val="11"/>
              </w:numPr>
              <w:rPr>
                <w:rFonts w:ascii="Arial" w:hAnsi="Arial" w:cs="Arial"/>
              </w:rPr>
            </w:pPr>
            <w:r w:rsidRPr="00F85B35">
              <w:rPr>
                <w:rFonts w:ascii="Arial" w:hAnsi="Arial" w:cs="Arial"/>
              </w:rPr>
              <w:t>not examine the risk of differential diagnosis and the cost per additional case detected and thus risk misallocating NHS resources due to risk  aversion or protectionism</w:t>
            </w:r>
          </w:p>
          <w:p w14:paraId="66D39E67" w14:textId="51FAFBA6" w:rsidR="00FE5F1E" w:rsidRPr="00F85B35" w:rsidRDefault="00FE5F1E" w:rsidP="00FE5F1E">
            <w:pPr>
              <w:rPr>
                <w:rFonts w:cs="Arial"/>
              </w:rPr>
            </w:pPr>
            <w:r w:rsidRPr="00F85B35">
              <w:rPr>
                <w:rFonts w:cs="Arial"/>
              </w:rPr>
              <w:t>In summary, we think the key to achieving successful diagnostic services for hearing loss is to ensure adults are managed outside hospital whenever possible, and in doing so – as the health quality management literature supports –liberate capacity and allow hospital audiology the capacity and time to improve diagnostics for children with hearing loss where 1 in 3 of services currently fail basic quality standards</w:t>
            </w:r>
            <w:r w:rsidRPr="00F85B35">
              <w:rPr>
                <w:rStyle w:val="EndnoteReference"/>
                <w:rFonts w:cs="Arial"/>
              </w:rPr>
              <w:endnoteReference w:id="35"/>
            </w:r>
            <w:r w:rsidRPr="00F85B35">
              <w:rPr>
                <w:rFonts w:cs="Arial"/>
              </w:rPr>
              <w:t xml:space="preserve">. </w:t>
            </w:r>
          </w:p>
          <w:p w14:paraId="5F70B267" w14:textId="77777777" w:rsidR="00A812B3" w:rsidRPr="00F85B35" w:rsidRDefault="00A812B3" w:rsidP="00274768">
            <w:pPr>
              <w:rPr>
                <w:rFonts w:cs="Arial"/>
                <w:sz w:val="20"/>
              </w:rPr>
            </w:pPr>
          </w:p>
        </w:tc>
      </w:tr>
      <w:tr w:rsidR="00F85B35" w:rsidRPr="00F85B35" w14:paraId="2E360F5E" w14:textId="77777777" w:rsidTr="003A06AF">
        <w:tc>
          <w:tcPr>
            <w:tcW w:w="1276" w:type="dxa"/>
            <w:tcBorders>
              <w:top w:val="single" w:sz="4" w:space="0" w:color="auto"/>
            </w:tcBorders>
          </w:tcPr>
          <w:p w14:paraId="1A7D411B" w14:textId="77777777" w:rsidR="00A812B3" w:rsidRPr="00F85B35" w:rsidRDefault="00A812B3" w:rsidP="0044012A">
            <w:pPr>
              <w:jc w:val="center"/>
              <w:rPr>
                <w:sz w:val="20"/>
              </w:rPr>
            </w:pPr>
            <w:r w:rsidRPr="00F85B35">
              <w:rPr>
                <w:sz w:val="20"/>
              </w:rPr>
              <w:lastRenderedPageBreak/>
              <w:t>4</w:t>
            </w:r>
          </w:p>
        </w:tc>
        <w:tc>
          <w:tcPr>
            <w:tcW w:w="1276" w:type="dxa"/>
            <w:tcBorders>
              <w:top w:val="single" w:sz="4" w:space="0" w:color="auto"/>
            </w:tcBorders>
          </w:tcPr>
          <w:p w14:paraId="52376068" w14:textId="77777777" w:rsidR="00A812B3" w:rsidRPr="00F85B35" w:rsidRDefault="00FE5F1E">
            <w:pPr>
              <w:rPr>
                <w:sz w:val="20"/>
              </w:rPr>
            </w:pPr>
            <w:r w:rsidRPr="00F85B35">
              <w:rPr>
                <w:sz w:val="20"/>
              </w:rPr>
              <w:t>Question 2.1</w:t>
            </w:r>
          </w:p>
        </w:tc>
        <w:tc>
          <w:tcPr>
            <w:tcW w:w="1276" w:type="dxa"/>
            <w:tcBorders>
              <w:top w:val="single" w:sz="4" w:space="0" w:color="auto"/>
            </w:tcBorders>
          </w:tcPr>
          <w:p w14:paraId="317A5295" w14:textId="77777777" w:rsidR="00A812B3" w:rsidRPr="00F85B35" w:rsidRDefault="00BF2A30">
            <w:pPr>
              <w:rPr>
                <w:sz w:val="20"/>
              </w:rPr>
            </w:pPr>
            <w:r w:rsidRPr="00F85B35">
              <w:rPr>
                <w:sz w:val="20"/>
              </w:rPr>
              <w:t>90-91</w:t>
            </w:r>
          </w:p>
        </w:tc>
        <w:tc>
          <w:tcPr>
            <w:tcW w:w="6201" w:type="dxa"/>
            <w:tcBorders>
              <w:top w:val="single" w:sz="4" w:space="0" w:color="auto"/>
            </w:tcBorders>
          </w:tcPr>
          <w:p w14:paraId="3CBEE35D" w14:textId="23A84C1D" w:rsidR="00FE5F1E" w:rsidRPr="00F85B35" w:rsidRDefault="00FE5F1E" w:rsidP="00FE5F1E">
            <w:pPr>
              <w:rPr>
                <w:rFonts w:cs="Arial"/>
              </w:rPr>
            </w:pPr>
            <w:r w:rsidRPr="00F85B35">
              <w:rPr>
                <w:rFonts w:cs="Arial"/>
              </w:rPr>
              <w:t xml:space="preserve">We think it is important that indicators do not create perverse incentives. For example by focussing on waiting times in audiology, there is an incentive to diagnose and then ‘fit and </w:t>
            </w:r>
            <w:r w:rsidRPr="00F85B35">
              <w:rPr>
                <w:rFonts w:cs="Arial"/>
              </w:rPr>
              <w:lastRenderedPageBreak/>
              <w:t xml:space="preserve">forget’ patients – especially when providers reach </w:t>
            </w:r>
            <w:r w:rsidR="00131008">
              <w:rPr>
                <w:rFonts w:cs="Arial"/>
              </w:rPr>
              <w:t xml:space="preserve">(or exceed) </w:t>
            </w:r>
            <w:r w:rsidRPr="00F85B35">
              <w:rPr>
                <w:rFonts w:cs="Arial"/>
              </w:rPr>
              <w:t xml:space="preserve">100% utilisation and have limited capacity to follow-up patients (which we have reason to believe is the case already in 2015 and will worsen as the population ages, austerity tightens and demand for this service increases). </w:t>
            </w:r>
          </w:p>
          <w:p w14:paraId="02253A56" w14:textId="77777777" w:rsidR="00FE5F1E" w:rsidRPr="00F85B35" w:rsidRDefault="00FE5F1E" w:rsidP="00FE5F1E">
            <w:pPr>
              <w:rPr>
                <w:rFonts w:cs="Arial"/>
              </w:rPr>
            </w:pPr>
          </w:p>
          <w:p w14:paraId="693B96A8" w14:textId="77777777" w:rsidR="00FE5F1E" w:rsidRPr="00F85B35" w:rsidRDefault="00FE5F1E" w:rsidP="00FE5F1E">
            <w:pPr>
              <w:rPr>
                <w:rFonts w:cs="Arial"/>
              </w:rPr>
            </w:pPr>
            <w:r w:rsidRPr="00F85B35">
              <w:rPr>
                <w:rFonts w:cs="Arial"/>
              </w:rPr>
              <w:t>It is on this basis we recommend that, when designing diagnostic indicators,   the impact these indicators might have on the entire patient pathway should be considered.</w:t>
            </w:r>
          </w:p>
          <w:p w14:paraId="2E0FABB0" w14:textId="77777777" w:rsidR="00FE5F1E" w:rsidRPr="00F85B35" w:rsidRDefault="00FE5F1E" w:rsidP="00FE5F1E">
            <w:pPr>
              <w:rPr>
                <w:rFonts w:cs="Arial"/>
              </w:rPr>
            </w:pPr>
          </w:p>
          <w:p w14:paraId="2A3A44B3" w14:textId="77777777" w:rsidR="00FE5F1E" w:rsidRPr="00F85B35" w:rsidRDefault="00FE5F1E" w:rsidP="00FE5F1E">
            <w:pPr>
              <w:rPr>
                <w:rFonts w:cs="Arial"/>
              </w:rPr>
            </w:pPr>
            <w:r w:rsidRPr="00F85B35">
              <w:rPr>
                <w:rFonts w:cs="Arial"/>
                <w:bCs/>
                <w:lang w:val="en"/>
              </w:rPr>
              <w:t xml:space="preserve">A good example of how to do this is well is the Department of Health’s 2012 </w:t>
            </w:r>
            <w:r w:rsidRPr="00F85B35">
              <w:rPr>
                <w:rFonts w:cs="Arial"/>
              </w:rPr>
              <w:t>Any Qualified Provider (AQP) implementation pack for adult hearing services. This is because it included multiple indicators to measure the quality of the entire service (including diagnostics). These include</w:t>
            </w:r>
          </w:p>
          <w:p w14:paraId="186A3EA0" w14:textId="77777777" w:rsidR="00FE5F1E" w:rsidRPr="00F85B35" w:rsidRDefault="00FE5F1E" w:rsidP="00FE5F1E">
            <w:pPr>
              <w:rPr>
                <w:rFonts w:cs="Arial"/>
              </w:rPr>
            </w:pPr>
          </w:p>
          <w:p w14:paraId="3EF1516C" w14:textId="77777777" w:rsidR="00FE5F1E" w:rsidRPr="00F85B35" w:rsidRDefault="00FE5F1E" w:rsidP="00FE5F1E">
            <w:pPr>
              <w:pStyle w:val="ListParagraph"/>
              <w:numPr>
                <w:ilvl w:val="0"/>
                <w:numId w:val="14"/>
              </w:numPr>
              <w:rPr>
                <w:rFonts w:ascii="Arial" w:hAnsi="Arial" w:cs="Arial"/>
              </w:rPr>
            </w:pPr>
            <w:r w:rsidRPr="00F85B35">
              <w:rPr>
                <w:rFonts w:ascii="Arial" w:hAnsi="Arial" w:cs="Arial"/>
              </w:rPr>
              <w:t>90% of patients referred should be assessed within 16 working days of receipt of referral</w:t>
            </w:r>
          </w:p>
          <w:p w14:paraId="4ACD7925" w14:textId="77777777" w:rsidR="00FE5F1E" w:rsidRPr="00F85B35" w:rsidRDefault="00FE5F1E" w:rsidP="00FE5F1E">
            <w:pPr>
              <w:pStyle w:val="ListParagraph"/>
              <w:numPr>
                <w:ilvl w:val="0"/>
                <w:numId w:val="14"/>
              </w:numPr>
              <w:rPr>
                <w:rFonts w:ascii="Arial" w:hAnsi="Arial" w:cs="Arial"/>
              </w:rPr>
            </w:pPr>
            <w:r w:rsidRPr="00F85B35">
              <w:rPr>
                <w:rFonts w:ascii="Arial" w:hAnsi="Arial" w:cs="Arial"/>
              </w:rPr>
              <w:t>90% of patients requiring a hearing aid should be seen within 20 working days of the assessment</w:t>
            </w:r>
          </w:p>
          <w:p w14:paraId="47AD6346" w14:textId="77777777" w:rsidR="00FE5F1E" w:rsidRPr="00F85B35" w:rsidRDefault="00FE5F1E" w:rsidP="00FE5F1E">
            <w:pPr>
              <w:pStyle w:val="ListParagraph"/>
              <w:numPr>
                <w:ilvl w:val="0"/>
                <w:numId w:val="14"/>
              </w:numPr>
              <w:rPr>
                <w:rFonts w:ascii="Arial" w:hAnsi="Arial" w:cs="Arial"/>
              </w:rPr>
            </w:pPr>
            <w:r w:rsidRPr="00F85B35">
              <w:rPr>
                <w:rFonts w:ascii="Arial" w:hAnsi="Arial" w:cs="Arial"/>
              </w:rPr>
              <w:t>90% of follow-up appointments should be within 10 weeks of fitting</w:t>
            </w:r>
          </w:p>
          <w:p w14:paraId="61C63E4F" w14:textId="77777777" w:rsidR="00FE5F1E" w:rsidRPr="00F85B35" w:rsidRDefault="00FE5F1E" w:rsidP="00FE5F1E">
            <w:pPr>
              <w:pStyle w:val="ListParagraph"/>
              <w:numPr>
                <w:ilvl w:val="0"/>
                <w:numId w:val="14"/>
              </w:numPr>
              <w:rPr>
                <w:rFonts w:ascii="Arial" w:hAnsi="Arial" w:cs="Arial"/>
              </w:rPr>
            </w:pPr>
            <w:r w:rsidRPr="00F85B35">
              <w:rPr>
                <w:rFonts w:ascii="Arial" w:hAnsi="Arial" w:cs="Arial"/>
              </w:rPr>
              <w:t>90% of patients should be able to access aftercare within 2 working days of a request</w:t>
            </w:r>
          </w:p>
          <w:p w14:paraId="0D513A4A" w14:textId="77777777" w:rsidR="00FE5F1E" w:rsidRPr="00F85B35" w:rsidRDefault="00FE5F1E" w:rsidP="00FE5F1E">
            <w:pPr>
              <w:pStyle w:val="ListParagraph"/>
              <w:numPr>
                <w:ilvl w:val="0"/>
                <w:numId w:val="14"/>
              </w:numPr>
              <w:rPr>
                <w:rFonts w:ascii="Arial" w:hAnsi="Arial" w:cs="Arial"/>
              </w:rPr>
            </w:pPr>
            <w:r w:rsidRPr="00F85B35">
              <w:rPr>
                <w:rFonts w:ascii="Arial" w:hAnsi="Arial" w:cs="Arial"/>
              </w:rPr>
              <w:t>95% of responses received from patients sampled should report overall satisfaction</w:t>
            </w:r>
            <w:r w:rsidRPr="00F85B35">
              <w:rPr>
                <w:rStyle w:val="EndnoteReference"/>
                <w:rFonts w:cs="Arial"/>
              </w:rPr>
              <w:endnoteReference w:id="36"/>
            </w:r>
            <w:r w:rsidRPr="00F85B35">
              <w:rPr>
                <w:rFonts w:ascii="Arial" w:hAnsi="Arial" w:cs="Arial"/>
              </w:rPr>
              <w:t>.</w:t>
            </w:r>
          </w:p>
          <w:p w14:paraId="0035D758" w14:textId="77777777" w:rsidR="00FE5F1E" w:rsidRPr="00F85B35" w:rsidRDefault="00FE5F1E" w:rsidP="00FE5F1E">
            <w:pPr>
              <w:rPr>
                <w:rFonts w:cs="Arial"/>
              </w:rPr>
            </w:pPr>
            <w:r w:rsidRPr="00F85B35">
              <w:rPr>
                <w:rFonts w:cs="Arial"/>
              </w:rPr>
              <w:t>Since then, Monitor has reviewed this 2012 policy and found that</w:t>
            </w:r>
          </w:p>
          <w:p w14:paraId="2C92EFC3" w14:textId="77777777" w:rsidR="00FE5F1E" w:rsidRPr="00F85B35" w:rsidRDefault="00FE5F1E" w:rsidP="00FE5F1E">
            <w:pPr>
              <w:rPr>
                <w:rFonts w:cs="Arial"/>
              </w:rPr>
            </w:pPr>
          </w:p>
          <w:p w14:paraId="1C04C670" w14:textId="77777777" w:rsidR="00FE5F1E" w:rsidRPr="00F85B35" w:rsidRDefault="00FE5F1E" w:rsidP="00FE5F1E">
            <w:pPr>
              <w:pStyle w:val="ListParagraph"/>
              <w:numPr>
                <w:ilvl w:val="0"/>
                <w:numId w:val="15"/>
              </w:numPr>
              <w:rPr>
                <w:rFonts w:ascii="Arial" w:hAnsi="Arial" w:cs="Arial"/>
              </w:rPr>
            </w:pPr>
            <w:r w:rsidRPr="00F85B35">
              <w:rPr>
                <w:rFonts w:ascii="Arial" w:hAnsi="Arial" w:cs="Arial"/>
              </w:rPr>
              <w:t>“</w:t>
            </w:r>
            <w:r w:rsidRPr="00F85B35">
              <w:rPr>
                <w:rFonts w:ascii="Arial" w:hAnsi="Arial" w:cs="Arial"/>
                <w:i/>
              </w:rPr>
              <w:t>Commissioners and providers told us that the specifications put in place [for AQP] set out higher requirements for providers or were more explicit than the arrangements previously in place. Before, service specifications were not always in place or when in place, they often lacked clarity. For example, the new specifications clarified obligations to provide follow-up appointments and aftercare services</w:t>
            </w:r>
            <w:r w:rsidRPr="00F85B35">
              <w:rPr>
                <w:rFonts w:ascii="Arial" w:hAnsi="Arial" w:cs="Arial"/>
              </w:rPr>
              <w:t>”</w:t>
            </w:r>
          </w:p>
          <w:p w14:paraId="7E3D7A32" w14:textId="77777777" w:rsidR="00FE5F1E" w:rsidRPr="00F85B35" w:rsidRDefault="00FE5F1E" w:rsidP="00FE5F1E">
            <w:pPr>
              <w:rPr>
                <w:rFonts w:cs="Arial"/>
              </w:rPr>
            </w:pPr>
            <w:r w:rsidRPr="00F85B35">
              <w:rPr>
                <w:rFonts w:cs="Arial"/>
              </w:rPr>
              <w:t xml:space="preserve">and </w:t>
            </w:r>
          </w:p>
          <w:p w14:paraId="1785C342" w14:textId="77777777" w:rsidR="00FE5F1E" w:rsidRPr="00F85B35" w:rsidRDefault="00FE5F1E" w:rsidP="00FE5F1E">
            <w:pPr>
              <w:rPr>
                <w:rFonts w:cs="Arial"/>
              </w:rPr>
            </w:pPr>
          </w:p>
          <w:p w14:paraId="01A06E75" w14:textId="77777777" w:rsidR="00FE5F1E" w:rsidRPr="00F85B35" w:rsidRDefault="00FE5F1E" w:rsidP="00FE5F1E">
            <w:pPr>
              <w:pStyle w:val="ListParagraph"/>
              <w:numPr>
                <w:ilvl w:val="0"/>
                <w:numId w:val="15"/>
              </w:numPr>
              <w:rPr>
                <w:rFonts w:ascii="Arial" w:hAnsi="Arial" w:cs="Arial"/>
              </w:rPr>
            </w:pPr>
            <w:r w:rsidRPr="00F85B35">
              <w:rPr>
                <w:rFonts w:ascii="Arial" w:hAnsi="Arial" w:cs="Arial"/>
                <w:i/>
              </w:rPr>
              <w:t>“in our view, the service specifications, combined with regular reporting of outcome measures and penalties for underperformance, create incentives for providers to ensure the desired quality. They can also help commissioners ensure that adult hearing services offer good value for money and that the needs of patients are met</w:t>
            </w:r>
            <w:r w:rsidRPr="00F85B35">
              <w:rPr>
                <w:rFonts w:ascii="Arial" w:hAnsi="Arial" w:cs="Arial"/>
              </w:rPr>
              <w:t>”</w:t>
            </w:r>
            <w:r w:rsidRPr="00F85B35">
              <w:rPr>
                <w:rStyle w:val="EndnoteReference"/>
                <w:rFonts w:cs="Arial"/>
              </w:rPr>
              <w:endnoteReference w:id="37"/>
            </w:r>
          </w:p>
          <w:p w14:paraId="02BA29D1" w14:textId="75AB33FA" w:rsidR="00FE5F1E" w:rsidRPr="00F85B35" w:rsidRDefault="00FE5F1E" w:rsidP="00FE5F1E">
            <w:pPr>
              <w:rPr>
                <w:rFonts w:cs="Arial"/>
              </w:rPr>
            </w:pPr>
            <w:r w:rsidRPr="00F85B35">
              <w:rPr>
                <w:rFonts w:cs="Arial"/>
              </w:rPr>
              <w:lastRenderedPageBreak/>
              <w:t xml:space="preserve">In our view this provides a good case study for diagnostic services. Whilst audiology assessments are diagnostic tests, the </w:t>
            </w:r>
            <w:r w:rsidRPr="00F85B35">
              <w:rPr>
                <w:rFonts w:cs="Arial"/>
                <w:i/>
              </w:rPr>
              <w:t xml:space="preserve">service </w:t>
            </w:r>
            <w:r w:rsidRPr="00F85B35">
              <w:rPr>
                <w:rFonts w:cs="Arial"/>
              </w:rPr>
              <w:t xml:space="preserve">KPIs provide strong incentives for providers to diagnose, treat and then offer </w:t>
            </w:r>
            <w:r w:rsidRPr="00DB6514">
              <w:rPr>
                <w:rFonts w:cs="Arial"/>
                <w:b/>
                <w:i/>
              </w:rPr>
              <w:t>on-going support</w:t>
            </w:r>
            <w:r w:rsidRPr="00F85B35">
              <w:rPr>
                <w:rFonts w:cs="Arial"/>
              </w:rPr>
              <w:t xml:space="preserve"> – this latter  addressing  the problem of  gaps in follow-up care in adult hearing services (</w:t>
            </w:r>
            <w:r w:rsidR="0059781C" w:rsidRPr="00F85B35">
              <w:t>with serious risk of unacceptably poor outcomes</w:t>
            </w:r>
            <w:r w:rsidRPr="00F85B35">
              <w:rPr>
                <w:rFonts w:cs="Arial"/>
              </w:rPr>
              <w:t>) which had previously been unaddressed by the NHS for 30 years</w:t>
            </w:r>
            <w:r w:rsidRPr="00F85B35">
              <w:rPr>
                <w:rStyle w:val="EndnoteReference"/>
                <w:rFonts w:cs="Arial"/>
              </w:rPr>
              <w:endnoteReference w:id="38"/>
            </w:r>
            <w:r w:rsidRPr="00F85B35">
              <w:rPr>
                <w:rFonts w:cs="Arial"/>
              </w:rPr>
              <w:t>.</w:t>
            </w:r>
          </w:p>
          <w:p w14:paraId="3AE2E9F4" w14:textId="77777777" w:rsidR="00A812B3" w:rsidRPr="00F85B35" w:rsidRDefault="00A812B3">
            <w:pPr>
              <w:rPr>
                <w:sz w:val="20"/>
              </w:rPr>
            </w:pPr>
          </w:p>
        </w:tc>
      </w:tr>
      <w:tr w:rsidR="00F85B35" w:rsidRPr="00F85B35" w14:paraId="7315FC91" w14:textId="77777777" w:rsidTr="003A06AF">
        <w:tc>
          <w:tcPr>
            <w:tcW w:w="1276" w:type="dxa"/>
            <w:tcBorders>
              <w:top w:val="single" w:sz="4" w:space="0" w:color="auto"/>
            </w:tcBorders>
          </w:tcPr>
          <w:p w14:paraId="6AF84C95" w14:textId="77777777" w:rsidR="00A812B3" w:rsidRPr="00F85B35" w:rsidRDefault="00A812B3" w:rsidP="0044012A">
            <w:pPr>
              <w:jc w:val="center"/>
              <w:rPr>
                <w:sz w:val="20"/>
              </w:rPr>
            </w:pPr>
            <w:r w:rsidRPr="00F85B35">
              <w:rPr>
                <w:sz w:val="20"/>
              </w:rPr>
              <w:lastRenderedPageBreak/>
              <w:t>5</w:t>
            </w:r>
          </w:p>
        </w:tc>
        <w:tc>
          <w:tcPr>
            <w:tcW w:w="1276" w:type="dxa"/>
            <w:tcBorders>
              <w:top w:val="single" w:sz="4" w:space="0" w:color="auto"/>
            </w:tcBorders>
          </w:tcPr>
          <w:p w14:paraId="529EDC40" w14:textId="77777777" w:rsidR="00A812B3" w:rsidRPr="00F85B35" w:rsidRDefault="00FE5F1E">
            <w:pPr>
              <w:rPr>
                <w:sz w:val="20"/>
              </w:rPr>
            </w:pPr>
            <w:r w:rsidRPr="00F85B35">
              <w:rPr>
                <w:sz w:val="20"/>
              </w:rPr>
              <w:t>Question 3.1</w:t>
            </w:r>
          </w:p>
        </w:tc>
        <w:tc>
          <w:tcPr>
            <w:tcW w:w="1276" w:type="dxa"/>
            <w:tcBorders>
              <w:top w:val="single" w:sz="4" w:space="0" w:color="auto"/>
            </w:tcBorders>
          </w:tcPr>
          <w:p w14:paraId="33746149" w14:textId="77777777" w:rsidR="00A812B3" w:rsidRPr="00F85B35" w:rsidRDefault="00BF2A30">
            <w:pPr>
              <w:rPr>
                <w:sz w:val="20"/>
              </w:rPr>
            </w:pPr>
            <w:r w:rsidRPr="00F85B35">
              <w:rPr>
                <w:sz w:val="20"/>
              </w:rPr>
              <w:t>93-95</w:t>
            </w:r>
          </w:p>
        </w:tc>
        <w:tc>
          <w:tcPr>
            <w:tcW w:w="6201" w:type="dxa"/>
            <w:tcBorders>
              <w:top w:val="single" w:sz="4" w:space="0" w:color="auto"/>
            </w:tcBorders>
          </w:tcPr>
          <w:p w14:paraId="12C505CA" w14:textId="77777777" w:rsidR="00FE5F1E" w:rsidRDefault="00FE5F1E" w:rsidP="00FE5F1E">
            <w:pPr>
              <w:rPr>
                <w:rFonts w:cs="Arial"/>
                <w:bCs/>
                <w:lang w:val="en"/>
              </w:rPr>
            </w:pPr>
            <w:r w:rsidRPr="00F85B35">
              <w:rPr>
                <w:rFonts w:cs="Arial"/>
                <w:bCs/>
                <w:lang w:val="en"/>
              </w:rPr>
              <w:t>Yes</w:t>
            </w:r>
          </w:p>
          <w:p w14:paraId="43F60571" w14:textId="77777777" w:rsidR="00DB6514" w:rsidRPr="00F85B35" w:rsidRDefault="00DB6514" w:rsidP="00FE5F1E">
            <w:pPr>
              <w:rPr>
                <w:rFonts w:cs="Arial"/>
                <w:bCs/>
                <w:lang w:val="en"/>
              </w:rPr>
            </w:pPr>
          </w:p>
          <w:p w14:paraId="2B7BC8D0" w14:textId="77777777" w:rsidR="00FE5F1E" w:rsidRPr="00F85B35" w:rsidRDefault="00FE5F1E" w:rsidP="00FE5F1E">
            <w:pPr>
              <w:rPr>
                <w:rFonts w:cs="Arial"/>
                <w:bCs/>
                <w:lang w:val="en"/>
              </w:rPr>
            </w:pPr>
            <w:r w:rsidRPr="00F85B35">
              <w:rPr>
                <w:rFonts w:cs="Arial"/>
                <w:bCs/>
                <w:lang w:val="en"/>
              </w:rPr>
              <w:t>The main advantage of providing diagnostics for adult hearing loss outside of hospital is to improve quality of care (access, ongoing care and compliance with treatment). The reason why delivering this service outside hospital has advantages is complex but, briefly, according to the Department of Health it includes the fact that increasing capacity in the community reduces the monopoly power held by incumbent providers (i.e. secondary care) and this improves (previously weak) incentives to invest in audiology and respond to the needs of service users</w:t>
            </w:r>
            <w:r w:rsidRPr="00F85B35">
              <w:rPr>
                <w:rStyle w:val="EndnoteReference"/>
                <w:rFonts w:cs="Arial"/>
                <w:bCs/>
                <w:lang w:val="en"/>
              </w:rPr>
              <w:endnoteReference w:id="39"/>
            </w:r>
            <w:r w:rsidRPr="00F85B35">
              <w:rPr>
                <w:rFonts w:cs="Arial"/>
                <w:bCs/>
                <w:lang w:val="en"/>
              </w:rPr>
              <w:t xml:space="preserve">. </w:t>
            </w:r>
          </w:p>
          <w:p w14:paraId="46D39067" w14:textId="77777777" w:rsidR="00FE5F1E" w:rsidRPr="00F85B35" w:rsidRDefault="00FE5F1E" w:rsidP="00FE5F1E">
            <w:pPr>
              <w:rPr>
                <w:rFonts w:cs="Arial"/>
                <w:bCs/>
                <w:lang w:val="en"/>
              </w:rPr>
            </w:pPr>
          </w:p>
          <w:p w14:paraId="3D57AC24" w14:textId="77777777" w:rsidR="00FE5F1E" w:rsidRPr="00F85B35" w:rsidRDefault="00FE5F1E" w:rsidP="00FE5F1E">
            <w:pPr>
              <w:rPr>
                <w:rFonts w:cs="Arial"/>
                <w:bCs/>
                <w:lang w:val="en"/>
              </w:rPr>
            </w:pPr>
            <w:r w:rsidRPr="00F85B35">
              <w:rPr>
                <w:rFonts w:cs="Arial"/>
                <w:bCs/>
                <w:lang w:val="en"/>
              </w:rPr>
              <w:t>As noted above the vast majority of people with age-related hearing loss still have to attend secondary care for a simple diagnostic test.  They then remain trapped in the secondary care system which can have an impact on their hearing outcomes – e.g. lack of follow-up care due to capacity constraints and weak incentives (a chronic problem in the NHS hearing service</w:t>
            </w:r>
            <w:r w:rsidRPr="00F85B35">
              <w:rPr>
                <w:rStyle w:val="EndnoteReference"/>
                <w:rFonts w:cs="Arial"/>
                <w:bCs/>
                <w:lang w:val="en"/>
              </w:rPr>
              <w:endnoteReference w:id="40"/>
            </w:r>
            <w:r w:rsidRPr="00F85B35">
              <w:rPr>
                <w:rFonts w:cs="Arial"/>
                <w:bCs/>
                <w:lang w:val="en"/>
              </w:rPr>
              <w:t>).</w:t>
            </w:r>
          </w:p>
          <w:p w14:paraId="6773AA0E" w14:textId="77777777" w:rsidR="00FE5F1E" w:rsidRPr="00F85B35" w:rsidRDefault="00FE5F1E" w:rsidP="00FE5F1E">
            <w:pPr>
              <w:rPr>
                <w:rFonts w:cs="Arial"/>
                <w:bCs/>
                <w:lang w:val="en"/>
              </w:rPr>
            </w:pPr>
          </w:p>
          <w:p w14:paraId="5B4FD824" w14:textId="77777777" w:rsidR="00FE5F1E" w:rsidRPr="00F85B35" w:rsidRDefault="00FE5F1E" w:rsidP="00FE5F1E">
            <w:pPr>
              <w:rPr>
                <w:rFonts w:cs="Arial"/>
                <w:bCs/>
                <w:lang w:val="en"/>
              </w:rPr>
            </w:pPr>
            <w:r w:rsidRPr="00F85B35">
              <w:rPr>
                <w:rFonts w:cs="Arial"/>
                <w:bCs/>
                <w:lang w:val="en"/>
              </w:rPr>
              <w:t>Commissioners therefore find they have greater power when they commission services from several providers and that this can improve standards and lower the cost per case. For example Monitor, it its review of audiology found that in areas where community-based providers were active, commissioners were able to commission higher standards</w:t>
            </w:r>
            <w:r w:rsidRPr="00F85B35">
              <w:rPr>
                <w:rStyle w:val="EndnoteReference"/>
                <w:rFonts w:cs="Arial"/>
                <w:bCs/>
                <w:lang w:val="en"/>
              </w:rPr>
              <w:endnoteReference w:id="41"/>
            </w:r>
            <w:r w:rsidRPr="00F85B35">
              <w:rPr>
                <w:rFonts w:cs="Arial"/>
                <w:bCs/>
                <w:lang w:val="en"/>
              </w:rPr>
              <w:t xml:space="preserve">, for 20-25% lower price than </w:t>
            </w:r>
            <w:r w:rsidRPr="00F85B35">
              <w:rPr>
                <w:rFonts w:cs="Arial"/>
              </w:rPr>
              <w:t>than the national hospital non-mandated tariff</w:t>
            </w:r>
            <w:r w:rsidRPr="00F85B35">
              <w:rPr>
                <w:rStyle w:val="EndnoteReference"/>
                <w:rFonts w:cs="Arial"/>
              </w:rPr>
              <w:endnoteReference w:id="42"/>
            </w:r>
            <w:r w:rsidRPr="00F85B35">
              <w:rPr>
                <w:rFonts w:cs="Arial"/>
                <w:bCs/>
                <w:lang w:val="en"/>
              </w:rPr>
              <w:t xml:space="preserve"> and increase access for service users</w:t>
            </w:r>
            <w:r w:rsidRPr="00F85B35">
              <w:rPr>
                <w:rStyle w:val="EndnoteReference"/>
                <w:rFonts w:cs="Arial"/>
                <w:bCs/>
                <w:lang w:val="en"/>
              </w:rPr>
              <w:endnoteReference w:id="43"/>
            </w:r>
            <w:r w:rsidRPr="00F85B35">
              <w:rPr>
                <w:rFonts w:cs="Arial"/>
                <w:bCs/>
                <w:lang w:val="en"/>
              </w:rPr>
              <w:t>.</w:t>
            </w:r>
          </w:p>
          <w:p w14:paraId="2123BCFD" w14:textId="77777777" w:rsidR="00A812B3" w:rsidRPr="00F85B35" w:rsidRDefault="00A812B3">
            <w:pPr>
              <w:rPr>
                <w:sz w:val="20"/>
              </w:rPr>
            </w:pPr>
          </w:p>
        </w:tc>
      </w:tr>
      <w:tr w:rsidR="00F85B35" w:rsidRPr="00F85B35" w14:paraId="7B694D04" w14:textId="77777777" w:rsidTr="003A06AF">
        <w:tc>
          <w:tcPr>
            <w:tcW w:w="1276" w:type="dxa"/>
            <w:tcBorders>
              <w:top w:val="single" w:sz="4" w:space="0" w:color="auto"/>
            </w:tcBorders>
          </w:tcPr>
          <w:p w14:paraId="2D872B88" w14:textId="77777777" w:rsidR="00A812B3" w:rsidRPr="00F85B35" w:rsidRDefault="00A812B3" w:rsidP="0044012A">
            <w:pPr>
              <w:jc w:val="center"/>
              <w:rPr>
                <w:sz w:val="20"/>
              </w:rPr>
            </w:pPr>
            <w:r w:rsidRPr="00F85B35">
              <w:rPr>
                <w:sz w:val="20"/>
              </w:rPr>
              <w:t>6</w:t>
            </w:r>
          </w:p>
        </w:tc>
        <w:tc>
          <w:tcPr>
            <w:tcW w:w="1276" w:type="dxa"/>
            <w:tcBorders>
              <w:top w:val="single" w:sz="4" w:space="0" w:color="auto"/>
            </w:tcBorders>
          </w:tcPr>
          <w:p w14:paraId="359DC6C4" w14:textId="77777777" w:rsidR="00A812B3" w:rsidRPr="00F85B35" w:rsidRDefault="00FE5F1E">
            <w:pPr>
              <w:rPr>
                <w:sz w:val="20"/>
              </w:rPr>
            </w:pPr>
            <w:r w:rsidRPr="00F85B35">
              <w:rPr>
                <w:sz w:val="20"/>
              </w:rPr>
              <w:t>Question 3.2</w:t>
            </w:r>
          </w:p>
        </w:tc>
        <w:tc>
          <w:tcPr>
            <w:tcW w:w="1276" w:type="dxa"/>
            <w:tcBorders>
              <w:top w:val="single" w:sz="4" w:space="0" w:color="auto"/>
            </w:tcBorders>
          </w:tcPr>
          <w:p w14:paraId="00DF1630" w14:textId="77777777" w:rsidR="00A812B3" w:rsidRPr="00F85B35" w:rsidRDefault="00BF2A30">
            <w:pPr>
              <w:rPr>
                <w:sz w:val="20"/>
              </w:rPr>
            </w:pPr>
            <w:r w:rsidRPr="00F85B35">
              <w:rPr>
                <w:sz w:val="20"/>
              </w:rPr>
              <w:t>96-97</w:t>
            </w:r>
          </w:p>
        </w:tc>
        <w:tc>
          <w:tcPr>
            <w:tcW w:w="6201" w:type="dxa"/>
            <w:tcBorders>
              <w:top w:val="single" w:sz="4" w:space="0" w:color="auto"/>
            </w:tcBorders>
          </w:tcPr>
          <w:p w14:paraId="0962DFC5" w14:textId="77777777" w:rsidR="00FE5F1E" w:rsidRPr="00F85B35" w:rsidRDefault="00FE5F1E" w:rsidP="00FE5F1E">
            <w:pPr>
              <w:rPr>
                <w:rFonts w:cs="Arial"/>
              </w:rPr>
            </w:pPr>
            <w:r w:rsidRPr="00F85B35">
              <w:rPr>
                <w:rFonts w:cs="Arial"/>
              </w:rPr>
              <w:t xml:space="preserve">Yes. </w:t>
            </w:r>
          </w:p>
          <w:p w14:paraId="312F421D" w14:textId="77777777" w:rsidR="00FE5F1E" w:rsidRPr="00F85B35" w:rsidRDefault="00FE5F1E" w:rsidP="00FE5F1E">
            <w:pPr>
              <w:rPr>
                <w:rFonts w:cs="Arial"/>
              </w:rPr>
            </w:pPr>
          </w:p>
          <w:p w14:paraId="7D0824B1" w14:textId="77777777" w:rsidR="00FE5F1E" w:rsidRPr="00F85B35" w:rsidRDefault="00FE5F1E" w:rsidP="00FE5F1E">
            <w:pPr>
              <w:rPr>
                <w:rFonts w:cs="Arial"/>
              </w:rPr>
            </w:pPr>
            <w:r w:rsidRPr="00F85B35">
              <w:rPr>
                <w:rFonts w:cs="Arial"/>
              </w:rPr>
              <w:t>As explained above, delivering hearing care in the community (primary care) can improve outcomes. For example Monitor notes that since allowing primary care providers to offer NHS hearing assessments</w:t>
            </w:r>
          </w:p>
          <w:p w14:paraId="3C748DCE" w14:textId="77777777" w:rsidR="00FE5F1E" w:rsidRPr="00F85B35" w:rsidRDefault="00FE5F1E" w:rsidP="00FE5F1E">
            <w:pPr>
              <w:rPr>
                <w:rFonts w:cs="Arial"/>
              </w:rPr>
            </w:pPr>
          </w:p>
          <w:p w14:paraId="5E70DE7E" w14:textId="77777777" w:rsidR="00FE5F1E" w:rsidRPr="00F85B35" w:rsidRDefault="00FE5F1E" w:rsidP="00FE5F1E">
            <w:pPr>
              <w:pStyle w:val="ListParagraph"/>
              <w:numPr>
                <w:ilvl w:val="0"/>
                <w:numId w:val="16"/>
              </w:numPr>
              <w:rPr>
                <w:rFonts w:ascii="Arial" w:hAnsi="Arial" w:cs="Arial"/>
              </w:rPr>
            </w:pPr>
            <w:r w:rsidRPr="00F85B35">
              <w:rPr>
                <w:rFonts w:ascii="Arial" w:hAnsi="Arial" w:cs="Arial"/>
              </w:rPr>
              <w:t>“</w:t>
            </w:r>
            <w:r w:rsidRPr="00F85B35">
              <w:rPr>
                <w:rFonts w:ascii="Arial" w:hAnsi="Arial" w:cs="Arial"/>
                <w:i/>
              </w:rPr>
              <w:t xml:space="preserve">new options for people who may have found it difficult to access care have also emerged, such as providers that specialise in home visits or organisations setting up in </w:t>
            </w:r>
            <w:r w:rsidRPr="00F85B35">
              <w:rPr>
                <w:rFonts w:ascii="Arial" w:hAnsi="Arial" w:cs="Arial"/>
                <w:i/>
              </w:rPr>
              <w:lastRenderedPageBreak/>
              <w:t>areas where patients had previously had to travel long distances to reach the service. These aspects make services easier to access</w:t>
            </w:r>
            <w:r w:rsidRPr="00F85B35">
              <w:rPr>
                <w:rFonts w:ascii="Arial" w:hAnsi="Arial" w:cs="Arial"/>
              </w:rPr>
              <w:t>”</w:t>
            </w:r>
            <w:r w:rsidRPr="00F85B35">
              <w:rPr>
                <w:rStyle w:val="EndnoteReference"/>
                <w:rFonts w:cs="Arial"/>
              </w:rPr>
              <w:endnoteReference w:id="44"/>
            </w:r>
          </w:p>
          <w:p w14:paraId="2B146CA1" w14:textId="77777777" w:rsidR="00FE5F1E" w:rsidRPr="00F85B35" w:rsidRDefault="00FE5F1E" w:rsidP="00FE5F1E">
            <w:pPr>
              <w:rPr>
                <w:rFonts w:cs="Arial"/>
                <w:bCs/>
                <w:lang w:val="en"/>
              </w:rPr>
            </w:pPr>
            <w:r w:rsidRPr="00F85B35">
              <w:rPr>
                <w:rFonts w:cs="Arial"/>
                <w:bCs/>
                <w:lang w:val="en"/>
              </w:rPr>
              <w:t>This is important because people on average delay seeking help for their hearing loss by up to 10 years and this wait can reduce their ability to adapt to hearing aids and hence have a negative impact on long-term hearing outcomes</w:t>
            </w:r>
            <w:r w:rsidRPr="00F85B35">
              <w:rPr>
                <w:rStyle w:val="EndnoteReference"/>
                <w:rFonts w:cs="Arial"/>
                <w:bCs/>
                <w:lang w:val="en"/>
              </w:rPr>
              <w:endnoteReference w:id="45"/>
            </w:r>
            <w:r w:rsidRPr="00F85B35">
              <w:rPr>
                <w:rFonts w:cs="Arial"/>
                <w:bCs/>
                <w:lang w:val="en"/>
              </w:rPr>
              <w:t xml:space="preserve">. </w:t>
            </w:r>
          </w:p>
          <w:p w14:paraId="499822B2" w14:textId="77777777" w:rsidR="00FE5F1E" w:rsidRPr="00F85B35" w:rsidRDefault="00FE5F1E" w:rsidP="00FE5F1E">
            <w:pPr>
              <w:rPr>
                <w:rFonts w:cs="Arial"/>
                <w:bCs/>
                <w:lang w:val="en"/>
              </w:rPr>
            </w:pPr>
          </w:p>
          <w:p w14:paraId="6C77E812" w14:textId="77777777" w:rsidR="00FE5F1E" w:rsidRPr="00F85B35" w:rsidRDefault="00FE5F1E" w:rsidP="00FE5F1E">
            <w:pPr>
              <w:rPr>
                <w:rFonts w:cs="Arial"/>
              </w:rPr>
            </w:pPr>
            <w:r w:rsidRPr="00F85B35">
              <w:rPr>
                <w:rFonts w:cs="Arial"/>
              </w:rPr>
              <w:t xml:space="preserve">Accessing hearing care in the community has also been a longstanding goal for patient groups and they have long argued that providing care in the community would improve outcomes and the quality of care: </w:t>
            </w:r>
          </w:p>
          <w:p w14:paraId="4F0ED979" w14:textId="77777777" w:rsidR="00FE5F1E" w:rsidRPr="00F85B35" w:rsidRDefault="00FE5F1E" w:rsidP="00FE5F1E">
            <w:pPr>
              <w:rPr>
                <w:rFonts w:cs="Arial"/>
              </w:rPr>
            </w:pPr>
          </w:p>
          <w:p w14:paraId="07B9D632" w14:textId="77777777" w:rsidR="00FE5F1E" w:rsidRPr="00F85B35" w:rsidRDefault="00FE5F1E" w:rsidP="00FE5F1E">
            <w:pPr>
              <w:pStyle w:val="ListParagraph"/>
              <w:numPr>
                <w:ilvl w:val="0"/>
                <w:numId w:val="16"/>
              </w:numPr>
              <w:rPr>
                <w:rFonts w:ascii="Arial" w:hAnsi="Arial" w:cs="Arial"/>
              </w:rPr>
            </w:pPr>
            <w:r w:rsidRPr="00817C04">
              <w:rPr>
                <w:rFonts w:ascii="Arial" w:hAnsi="Arial" w:cs="Arial"/>
                <w:i/>
              </w:rPr>
              <w:t xml:space="preserve">“The current structure, where audiology services are </w:t>
            </w:r>
            <w:r w:rsidRPr="00817C04">
              <w:rPr>
                <w:rFonts w:ascii="Arial" w:hAnsi="Arial" w:cs="Arial"/>
                <w:bCs/>
                <w:i/>
              </w:rPr>
              <w:t xml:space="preserve">hospital-based [is inappropriate for a technical procedure]. It is also inappropriate for a service that requires continuing patient support </w:t>
            </w:r>
            <w:r w:rsidRPr="00817C04">
              <w:rPr>
                <w:rFonts w:ascii="Arial" w:hAnsi="Arial" w:cs="Arial"/>
                <w:i/>
              </w:rPr>
              <w:t xml:space="preserve">[...]. A locally-based service </w:t>
            </w:r>
            <w:r w:rsidRPr="00817C04">
              <w:rPr>
                <w:rFonts w:ascii="Arial" w:hAnsi="Arial" w:cs="Arial"/>
                <w:bCs/>
                <w:i/>
              </w:rPr>
              <w:t xml:space="preserve">would be more convenient [for the elderly to access follow-up </w:t>
            </w:r>
            <w:r w:rsidRPr="00817C04">
              <w:rPr>
                <w:rFonts w:ascii="Arial" w:hAnsi="Arial" w:cs="Arial"/>
                <w:i/>
              </w:rPr>
              <w:t xml:space="preserve">advice]. It is </w:t>
            </w:r>
            <w:r w:rsidRPr="00817C04">
              <w:rPr>
                <w:rFonts w:ascii="Arial" w:hAnsi="Arial" w:cs="Arial"/>
                <w:bCs/>
                <w:i/>
              </w:rPr>
              <w:t xml:space="preserve">estimated that a lack of back-up support under the current system is responsible for as many as 20 per cent of patients not using their hearing aid </w:t>
            </w:r>
            <w:r w:rsidRPr="00817C04">
              <w:rPr>
                <w:rFonts w:ascii="Arial" w:hAnsi="Arial" w:cs="Arial"/>
                <w:i/>
              </w:rPr>
              <w:t>after the first fitting”</w:t>
            </w:r>
            <w:r w:rsidRPr="00F85B35">
              <w:rPr>
                <w:rFonts w:ascii="Arial" w:hAnsi="Arial" w:cs="Arial"/>
              </w:rPr>
              <w:t xml:space="preserve"> RNID 1999</w:t>
            </w:r>
            <w:r w:rsidRPr="00F85B35">
              <w:rPr>
                <w:rStyle w:val="EndnoteReference"/>
                <w:rFonts w:cs="Arial"/>
              </w:rPr>
              <w:endnoteReference w:id="46"/>
            </w:r>
          </w:p>
          <w:p w14:paraId="7F5AEA77" w14:textId="77777777" w:rsidR="00FE5F1E" w:rsidRPr="00F85B35" w:rsidRDefault="00FE5F1E" w:rsidP="00FE5F1E">
            <w:pPr>
              <w:pStyle w:val="ListParagraph"/>
              <w:ind w:left="360"/>
              <w:rPr>
                <w:rFonts w:ascii="Arial" w:hAnsi="Arial" w:cs="Arial"/>
              </w:rPr>
            </w:pPr>
          </w:p>
          <w:p w14:paraId="5DE1E12C" w14:textId="77777777" w:rsidR="00FE5F1E" w:rsidRPr="00F85B35" w:rsidRDefault="00FE5F1E" w:rsidP="00FE5F1E">
            <w:pPr>
              <w:pStyle w:val="ListParagraph"/>
              <w:numPr>
                <w:ilvl w:val="0"/>
                <w:numId w:val="16"/>
              </w:numPr>
              <w:spacing w:after="120"/>
              <w:rPr>
                <w:rFonts w:ascii="Arial" w:hAnsi="Arial" w:cs="Arial"/>
              </w:rPr>
            </w:pPr>
            <w:r w:rsidRPr="00817C04">
              <w:rPr>
                <w:rFonts w:ascii="Arial" w:hAnsi="Arial" w:cs="Arial"/>
                <w:i/>
              </w:rPr>
              <w:t>“</w:t>
            </w:r>
            <w:r w:rsidRPr="00817C04">
              <w:rPr>
                <w:rFonts w:ascii="Arial" w:hAnsi="Arial" w:cs="Arial"/>
                <w:bCs/>
                <w:i/>
              </w:rPr>
              <w:t xml:space="preserve">The hospital care model is not appropriate for an ageing population </w:t>
            </w:r>
            <w:r w:rsidRPr="00817C04">
              <w:rPr>
                <w:rFonts w:ascii="Arial" w:hAnsi="Arial" w:cs="Arial"/>
                <w:i/>
              </w:rPr>
              <w:t xml:space="preserve">–  we are calling for a radical approach to redesign and de-medicalise hearing services to widen access and choice” </w:t>
            </w:r>
            <w:r w:rsidRPr="00F85B35">
              <w:rPr>
                <w:rFonts w:ascii="Arial" w:hAnsi="Arial" w:cs="Arial"/>
              </w:rPr>
              <w:t>Action on Hearing Loss 2011</w:t>
            </w:r>
            <w:r w:rsidRPr="00F85B35">
              <w:rPr>
                <w:rStyle w:val="EndnoteReference"/>
                <w:rFonts w:cs="Arial"/>
              </w:rPr>
              <w:endnoteReference w:id="47"/>
            </w:r>
          </w:p>
          <w:p w14:paraId="3D883E42" w14:textId="5A63EECB" w:rsidR="00A812B3" w:rsidRPr="00F85B35" w:rsidRDefault="00FE5F1E" w:rsidP="00FE5F1E">
            <w:pPr>
              <w:rPr>
                <w:rFonts w:cs="Arial"/>
              </w:rPr>
            </w:pPr>
            <w:r w:rsidRPr="00F85B35">
              <w:rPr>
                <w:rFonts w:cs="Arial"/>
              </w:rPr>
              <w:t>Moreover, in 1997, in a Department of Health sponsored study, heads of NHS audiology departments supported these positions with a response rate of 87%</w:t>
            </w:r>
            <w:r w:rsidRPr="00F85B35">
              <w:rPr>
                <w:rStyle w:val="EndnoteReference"/>
                <w:rFonts w:cs="Arial"/>
              </w:rPr>
              <w:endnoteReference w:id="48"/>
            </w:r>
            <w:r w:rsidRPr="00F85B35">
              <w:rPr>
                <w:rFonts w:cs="Arial"/>
              </w:rPr>
              <w:t xml:space="preserve">. </w:t>
            </w:r>
            <w:r w:rsidRPr="00D05503">
              <w:rPr>
                <w:rFonts w:cs="Arial"/>
                <w:b/>
              </w:rPr>
              <w:t>Table one</w:t>
            </w:r>
            <w:r w:rsidRPr="00F85B35">
              <w:rPr>
                <w:rFonts w:cs="Arial"/>
              </w:rPr>
              <w:t xml:space="preserve"> in endnote number six shows that, according to hospital providers themselves, care closer to home had considerable advantages for patients; including improved access and the potential to improve hearing aid compliance.  It also shows there was strong agreement on the benefits of care closer to home.  </w:t>
            </w:r>
          </w:p>
          <w:p w14:paraId="2EC94BAF" w14:textId="77777777" w:rsidR="00FE5F1E" w:rsidRPr="00F85B35" w:rsidRDefault="00FE5F1E" w:rsidP="00FE5F1E">
            <w:pPr>
              <w:rPr>
                <w:sz w:val="20"/>
              </w:rPr>
            </w:pPr>
          </w:p>
        </w:tc>
      </w:tr>
      <w:tr w:rsidR="00F85B35" w:rsidRPr="00F85B35" w14:paraId="0492B817" w14:textId="77777777" w:rsidTr="003A06AF">
        <w:tc>
          <w:tcPr>
            <w:tcW w:w="1276" w:type="dxa"/>
            <w:tcBorders>
              <w:top w:val="single" w:sz="4" w:space="0" w:color="auto"/>
            </w:tcBorders>
          </w:tcPr>
          <w:p w14:paraId="11BC877F" w14:textId="77777777" w:rsidR="00A812B3" w:rsidRPr="00F85B35" w:rsidRDefault="00A812B3" w:rsidP="0044012A">
            <w:pPr>
              <w:jc w:val="center"/>
              <w:rPr>
                <w:sz w:val="20"/>
              </w:rPr>
            </w:pPr>
            <w:r w:rsidRPr="00F85B35">
              <w:rPr>
                <w:sz w:val="20"/>
              </w:rPr>
              <w:lastRenderedPageBreak/>
              <w:t>7</w:t>
            </w:r>
          </w:p>
        </w:tc>
        <w:tc>
          <w:tcPr>
            <w:tcW w:w="1276" w:type="dxa"/>
            <w:tcBorders>
              <w:top w:val="single" w:sz="4" w:space="0" w:color="auto"/>
            </w:tcBorders>
          </w:tcPr>
          <w:p w14:paraId="08A6BC20" w14:textId="77777777" w:rsidR="00A812B3" w:rsidRPr="00F85B35" w:rsidRDefault="00FE5F1E">
            <w:pPr>
              <w:rPr>
                <w:sz w:val="20"/>
              </w:rPr>
            </w:pPr>
            <w:r w:rsidRPr="00F85B35">
              <w:rPr>
                <w:sz w:val="20"/>
              </w:rPr>
              <w:t>Question 4.1</w:t>
            </w:r>
          </w:p>
        </w:tc>
        <w:tc>
          <w:tcPr>
            <w:tcW w:w="1276" w:type="dxa"/>
            <w:tcBorders>
              <w:top w:val="single" w:sz="4" w:space="0" w:color="auto"/>
            </w:tcBorders>
          </w:tcPr>
          <w:p w14:paraId="7F8BD8CF" w14:textId="77777777" w:rsidR="00A812B3" w:rsidRPr="00F85B35" w:rsidRDefault="00BF2A30">
            <w:pPr>
              <w:rPr>
                <w:sz w:val="20"/>
              </w:rPr>
            </w:pPr>
            <w:r w:rsidRPr="00F85B35">
              <w:rPr>
                <w:sz w:val="20"/>
              </w:rPr>
              <w:t>99-100</w:t>
            </w:r>
          </w:p>
        </w:tc>
        <w:tc>
          <w:tcPr>
            <w:tcW w:w="6201" w:type="dxa"/>
            <w:tcBorders>
              <w:top w:val="single" w:sz="4" w:space="0" w:color="auto"/>
            </w:tcBorders>
          </w:tcPr>
          <w:p w14:paraId="33097E74" w14:textId="77777777" w:rsidR="00FE5F1E" w:rsidRPr="00F85B35" w:rsidRDefault="00FE5F1E" w:rsidP="00FE5F1E">
            <w:pPr>
              <w:rPr>
                <w:rFonts w:cs="Arial"/>
              </w:rPr>
            </w:pPr>
            <w:r w:rsidRPr="00F85B35">
              <w:rPr>
                <w:rFonts w:cs="Arial"/>
              </w:rPr>
              <w:t>Adults referred for a hearing assessment in the community are provided with results on the same day - this is routine.</w:t>
            </w:r>
          </w:p>
          <w:p w14:paraId="0E44E85C" w14:textId="77777777" w:rsidR="00A812B3" w:rsidRPr="00F85B35" w:rsidRDefault="00A812B3">
            <w:pPr>
              <w:rPr>
                <w:sz w:val="20"/>
              </w:rPr>
            </w:pPr>
          </w:p>
        </w:tc>
      </w:tr>
      <w:tr w:rsidR="00F85B35" w:rsidRPr="00F85B35" w14:paraId="734173AF" w14:textId="77777777" w:rsidTr="003A06AF">
        <w:tc>
          <w:tcPr>
            <w:tcW w:w="1276" w:type="dxa"/>
            <w:tcBorders>
              <w:top w:val="single" w:sz="4" w:space="0" w:color="auto"/>
            </w:tcBorders>
          </w:tcPr>
          <w:p w14:paraId="0BACF358" w14:textId="77777777" w:rsidR="00A812B3" w:rsidRPr="00F85B35" w:rsidRDefault="00A812B3" w:rsidP="0044012A">
            <w:pPr>
              <w:jc w:val="center"/>
              <w:rPr>
                <w:sz w:val="20"/>
              </w:rPr>
            </w:pPr>
            <w:r w:rsidRPr="00F85B35">
              <w:rPr>
                <w:sz w:val="20"/>
              </w:rPr>
              <w:t>8</w:t>
            </w:r>
          </w:p>
        </w:tc>
        <w:tc>
          <w:tcPr>
            <w:tcW w:w="1276" w:type="dxa"/>
            <w:tcBorders>
              <w:top w:val="single" w:sz="4" w:space="0" w:color="auto"/>
            </w:tcBorders>
          </w:tcPr>
          <w:p w14:paraId="05003829" w14:textId="77777777" w:rsidR="00A812B3" w:rsidRPr="00F85B35" w:rsidRDefault="00FE5F1E">
            <w:pPr>
              <w:rPr>
                <w:sz w:val="20"/>
              </w:rPr>
            </w:pPr>
            <w:r w:rsidRPr="00F85B35">
              <w:rPr>
                <w:sz w:val="20"/>
              </w:rPr>
              <w:t>Question 4.2</w:t>
            </w:r>
          </w:p>
        </w:tc>
        <w:tc>
          <w:tcPr>
            <w:tcW w:w="1276" w:type="dxa"/>
            <w:tcBorders>
              <w:top w:val="single" w:sz="4" w:space="0" w:color="auto"/>
            </w:tcBorders>
          </w:tcPr>
          <w:p w14:paraId="7477316B" w14:textId="77777777" w:rsidR="00A812B3" w:rsidRPr="00F85B35" w:rsidRDefault="00BF2A30">
            <w:pPr>
              <w:rPr>
                <w:sz w:val="20"/>
              </w:rPr>
            </w:pPr>
            <w:r w:rsidRPr="00F85B35">
              <w:rPr>
                <w:sz w:val="20"/>
              </w:rPr>
              <w:t>101-102</w:t>
            </w:r>
          </w:p>
        </w:tc>
        <w:tc>
          <w:tcPr>
            <w:tcW w:w="6201" w:type="dxa"/>
            <w:tcBorders>
              <w:top w:val="single" w:sz="4" w:space="0" w:color="auto"/>
            </w:tcBorders>
          </w:tcPr>
          <w:p w14:paraId="1BAFBC60" w14:textId="77777777" w:rsidR="00FE5F1E" w:rsidRPr="00F85B35" w:rsidRDefault="00FE5F1E" w:rsidP="00FE5F1E">
            <w:pPr>
              <w:rPr>
                <w:rFonts w:cs="Arial"/>
              </w:rPr>
            </w:pPr>
            <w:r w:rsidRPr="00F85B35">
              <w:rPr>
                <w:rFonts w:cs="Arial"/>
              </w:rPr>
              <w:t xml:space="preserve">Yes. </w:t>
            </w:r>
          </w:p>
          <w:p w14:paraId="3FDA74EF" w14:textId="77777777" w:rsidR="00FE5F1E" w:rsidRPr="00F85B35" w:rsidRDefault="00FE5F1E" w:rsidP="00FE5F1E">
            <w:pPr>
              <w:rPr>
                <w:rFonts w:cs="Arial"/>
              </w:rPr>
            </w:pPr>
          </w:p>
          <w:p w14:paraId="3AC4C84C" w14:textId="77777777" w:rsidR="00FE5F1E" w:rsidRPr="00F85B35" w:rsidRDefault="00FE5F1E" w:rsidP="00FE5F1E">
            <w:pPr>
              <w:rPr>
                <w:rFonts w:cs="Arial"/>
              </w:rPr>
            </w:pPr>
            <w:r w:rsidRPr="00F85B35">
              <w:rPr>
                <w:rFonts w:cs="Arial"/>
              </w:rPr>
              <w:t xml:space="preserve">In regions where community-based providers operate, more NHS patients can access hearing assessments at weekends (including domiciliary care) at no extra cost to the NHS. This improves access and allows people more flexibility, reduces barriers to getting their hearing loss diagnosed and improves </w:t>
            </w:r>
            <w:r w:rsidRPr="00F85B35">
              <w:rPr>
                <w:rFonts w:cs="Arial"/>
              </w:rPr>
              <w:lastRenderedPageBreak/>
              <w:t>uptake of interventions</w:t>
            </w:r>
            <w:r w:rsidRPr="00F85B35">
              <w:rPr>
                <w:rStyle w:val="EndnoteReference"/>
                <w:rFonts w:cs="Arial"/>
              </w:rPr>
              <w:endnoteReference w:id="49"/>
            </w:r>
            <w:r w:rsidRPr="00F85B35">
              <w:rPr>
                <w:rFonts w:cs="Arial"/>
              </w:rPr>
              <w:t>. There is also access to seven day aftercare – something the traditional NHS hearing care service did not offer before the introduction of community-based providers.</w:t>
            </w:r>
          </w:p>
          <w:p w14:paraId="2A44CC6D" w14:textId="77777777" w:rsidR="00FE5F1E" w:rsidRPr="00F85B35" w:rsidRDefault="00FE5F1E" w:rsidP="00FE5F1E">
            <w:pPr>
              <w:rPr>
                <w:rFonts w:cs="Arial"/>
              </w:rPr>
            </w:pPr>
          </w:p>
          <w:p w14:paraId="2C6329A5" w14:textId="77777777" w:rsidR="00FE5F1E" w:rsidRPr="00F85B35" w:rsidRDefault="00FE5F1E" w:rsidP="00FE5F1E">
            <w:pPr>
              <w:rPr>
                <w:rFonts w:cs="Arial"/>
                <w:bCs/>
                <w:lang w:val="en"/>
              </w:rPr>
            </w:pPr>
            <w:r w:rsidRPr="00F85B35">
              <w:rPr>
                <w:rFonts w:cs="Arial"/>
                <w:bCs/>
                <w:lang w:val="en"/>
              </w:rPr>
              <w:t>This is important because people on average delay seeking help for their hearing loss by up to 10 years and this wait can reduce their ability to adapt to hearing aids and hence have a negative impact on long-term patient outcomes</w:t>
            </w:r>
            <w:r w:rsidRPr="00F85B35">
              <w:rPr>
                <w:rStyle w:val="EndnoteReference"/>
                <w:rFonts w:cs="Arial"/>
                <w:bCs/>
                <w:lang w:val="en"/>
              </w:rPr>
              <w:endnoteReference w:id="50"/>
            </w:r>
            <w:r w:rsidRPr="00F85B35">
              <w:rPr>
                <w:rFonts w:cs="Arial"/>
                <w:bCs/>
                <w:lang w:val="en"/>
              </w:rPr>
              <w:t>; and aftercare is a key factor (as noted above) to ensuring people continue to use and benefit from their hearing aids.</w:t>
            </w:r>
          </w:p>
        </w:tc>
      </w:tr>
      <w:tr w:rsidR="00F85B35" w:rsidRPr="00F85B35" w14:paraId="46CE8355" w14:textId="77777777" w:rsidTr="003A06AF">
        <w:tc>
          <w:tcPr>
            <w:tcW w:w="1276" w:type="dxa"/>
            <w:tcBorders>
              <w:top w:val="single" w:sz="4" w:space="0" w:color="auto"/>
            </w:tcBorders>
          </w:tcPr>
          <w:p w14:paraId="30FFEB20" w14:textId="77777777" w:rsidR="00A812B3" w:rsidRPr="00F85B35" w:rsidRDefault="00A812B3" w:rsidP="0044012A">
            <w:pPr>
              <w:jc w:val="center"/>
              <w:rPr>
                <w:sz w:val="20"/>
              </w:rPr>
            </w:pPr>
            <w:r w:rsidRPr="00F85B35">
              <w:rPr>
                <w:sz w:val="20"/>
              </w:rPr>
              <w:lastRenderedPageBreak/>
              <w:t>9</w:t>
            </w:r>
          </w:p>
        </w:tc>
        <w:tc>
          <w:tcPr>
            <w:tcW w:w="1276" w:type="dxa"/>
            <w:tcBorders>
              <w:top w:val="single" w:sz="4" w:space="0" w:color="auto"/>
            </w:tcBorders>
          </w:tcPr>
          <w:p w14:paraId="64EBE97D" w14:textId="77777777" w:rsidR="00A812B3" w:rsidRPr="00F85B35" w:rsidRDefault="00FE5F1E">
            <w:pPr>
              <w:rPr>
                <w:sz w:val="20"/>
              </w:rPr>
            </w:pPr>
            <w:r w:rsidRPr="00F85B35">
              <w:rPr>
                <w:sz w:val="20"/>
              </w:rPr>
              <w:t>Question 5.1</w:t>
            </w:r>
          </w:p>
        </w:tc>
        <w:tc>
          <w:tcPr>
            <w:tcW w:w="1276" w:type="dxa"/>
            <w:tcBorders>
              <w:top w:val="single" w:sz="4" w:space="0" w:color="auto"/>
            </w:tcBorders>
          </w:tcPr>
          <w:p w14:paraId="49694976" w14:textId="77777777" w:rsidR="00A812B3" w:rsidRPr="00F85B35" w:rsidRDefault="00BF2A30">
            <w:pPr>
              <w:rPr>
                <w:sz w:val="20"/>
              </w:rPr>
            </w:pPr>
            <w:r w:rsidRPr="00F85B35">
              <w:rPr>
                <w:sz w:val="20"/>
              </w:rPr>
              <w:t>104-105</w:t>
            </w:r>
          </w:p>
        </w:tc>
        <w:tc>
          <w:tcPr>
            <w:tcW w:w="6201" w:type="dxa"/>
            <w:tcBorders>
              <w:top w:val="single" w:sz="4" w:space="0" w:color="auto"/>
            </w:tcBorders>
          </w:tcPr>
          <w:p w14:paraId="673400AB" w14:textId="77777777" w:rsidR="00FE5F1E" w:rsidRPr="00F85B35" w:rsidRDefault="00FE5F1E" w:rsidP="00FE5F1E">
            <w:pPr>
              <w:rPr>
                <w:rFonts w:cs="Arial"/>
              </w:rPr>
            </w:pPr>
            <w:r w:rsidRPr="00F85B35">
              <w:rPr>
                <w:rFonts w:cs="Arial"/>
              </w:rPr>
              <w:t xml:space="preserve">In our view the simple answer is yes. </w:t>
            </w:r>
          </w:p>
          <w:p w14:paraId="510A80ED" w14:textId="77777777" w:rsidR="00FE5F1E" w:rsidRPr="00F85B35" w:rsidRDefault="00FE5F1E" w:rsidP="00FE5F1E">
            <w:pPr>
              <w:rPr>
                <w:rFonts w:cs="Arial"/>
              </w:rPr>
            </w:pPr>
          </w:p>
          <w:p w14:paraId="1B00F804" w14:textId="77777777" w:rsidR="00FE5F1E" w:rsidRPr="00F85B35" w:rsidRDefault="00FE5F1E" w:rsidP="00FE5F1E">
            <w:pPr>
              <w:rPr>
                <w:rFonts w:cs="Arial"/>
              </w:rPr>
            </w:pPr>
            <w:r w:rsidRPr="00F85B35">
              <w:rPr>
                <w:rFonts w:cs="Arial"/>
              </w:rPr>
              <w:t xml:space="preserve">This is because in hearing care the diagnostic test occurs at the start of the pathway and the provider that is chosen by the patient to carry out the diagnostic test is also the provider that will care for the patient for the (at least) next three years. </w:t>
            </w:r>
          </w:p>
          <w:p w14:paraId="0F3764DB" w14:textId="77777777" w:rsidR="00FE5F1E" w:rsidRPr="00F85B35" w:rsidRDefault="00FE5F1E" w:rsidP="00FE5F1E">
            <w:pPr>
              <w:rPr>
                <w:rFonts w:cs="Arial"/>
              </w:rPr>
            </w:pPr>
            <w:r w:rsidRPr="00F85B35">
              <w:rPr>
                <w:rFonts w:cs="Arial"/>
              </w:rPr>
              <w:t>This matters, because if the diagnostic test is only accessible in hospitals and hospitals are at capacity, then aftercare and follow-up care is less likely to be provided and hence hearing outcomes are likely to suffer</w:t>
            </w:r>
            <w:r w:rsidRPr="00F85B35">
              <w:rPr>
                <w:rStyle w:val="EndnoteReference"/>
                <w:rFonts w:cs="Arial"/>
              </w:rPr>
              <w:endnoteReference w:id="51"/>
            </w:r>
            <w:r w:rsidRPr="00F85B35">
              <w:rPr>
                <w:rFonts w:cs="Arial"/>
              </w:rPr>
              <w:t>.</w:t>
            </w:r>
          </w:p>
          <w:p w14:paraId="5B24F043" w14:textId="77777777" w:rsidR="00FE5F1E" w:rsidRPr="00F85B35" w:rsidRDefault="00FE5F1E" w:rsidP="00FE5F1E">
            <w:pPr>
              <w:rPr>
                <w:rFonts w:cs="Arial"/>
              </w:rPr>
            </w:pPr>
          </w:p>
          <w:p w14:paraId="332217DA" w14:textId="1CAC4466" w:rsidR="00FE5F1E" w:rsidRPr="00F85B35" w:rsidRDefault="00FE5F1E" w:rsidP="00FE5F1E">
            <w:pPr>
              <w:rPr>
                <w:rFonts w:cs="Arial"/>
              </w:rPr>
            </w:pPr>
            <w:r w:rsidRPr="00F85B35">
              <w:rPr>
                <w:rFonts w:cs="Arial"/>
              </w:rPr>
              <w:t>It is also important to note that in audiology, as noted above, the vast majority of older people with age-related hearing loss are referred to hospital for a non-medical diagnostic test and then have to remain under the care of the hospital in order to access a non-medical intervention (hearing aid). To the best of our knowledge this does not happen in any other advanced country (i.e. it only happens in the UK and this appears to be solely because of NHS inertia or as an expensive demand management device, with no evidence basis or economic or public health case to support it). Over a patient’s lifetime the main reason that they will then have to visit audiology is for hearing aid repairs</w:t>
            </w:r>
            <w:r w:rsidRPr="00F85B35">
              <w:rPr>
                <w:rStyle w:val="EndnoteReference"/>
                <w:rFonts w:cs="Arial"/>
              </w:rPr>
              <w:endnoteReference w:id="52"/>
            </w:r>
            <w:r w:rsidRPr="00F85B35">
              <w:rPr>
                <w:rFonts w:cs="Arial"/>
              </w:rPr>
              <w:t>. This means people aged 70 and older are having to make multiple visits each year to hospital for minor and routine hearing aid repairs</w:t>
            </w:r>
            <w:r w:rsidR="00AF2FA1">
              <w:rPr>
                <w:rFonts w:cs="Arial"/>
              </w:rPr>
              <w:t xml:space="preserve"> (tubes </w:t>
            </w:r>
            <w:r w:rsidRPr="00F85B35">
              <w:rPr>
                <w:rFonts w:cs="Arial"/>
              </w:rPr>
              <w:t xml:space="preserve">replacements etc.).  This imposes an unfair and unnecessary cost on service users (e.g. distance travelled, hospital car parking and time lost compared to accessing simple services closer to home). </w:t>
            </w:r>
          </w:p>
          <w:p w14:paraId="3DF9D40C" w14:textId="77777777" w:rsidR="00FE5F1E" w:rsidRPr="00F85B35" w:rsidRDefault="00FE5F1E" w:rsidP="00FE5F1E">
            <w:pPr>
              <w:rPr>
                <w:rFonts w:cs="Arial"/>
              </w:rPr>
            </w:pPr>
          </w:p>
          <w:p w14:paraId="34489FA2" w14:textId="77777777" w:rsidR="00FE5F1E" w:rsidRPr="00F85B35" w:rsidRDefault="00FE5F1E" w:rsidP="00FE5F1E">
            <w:pPr>
              <w:rPr>
                <w:rFonts w:cs="Arial"/>
              </w:rPr>
            </w:pPr>
            <w:r w:rsidRPr="00F85B35">
              <w:rPr>
                <w:rFonts w:cs="Arial"/>
              </w:rPr>
              <w:t>If the same patients were able to get their diagnosis (and thus treatment) in the community, as 50% of England now allows (and all private patients have always been able to access), then patients would be more likely to attend follow-up appointments</w:t>
            </w:r>
            <w:r w:rsidRPr="00F85B35">
              <w:rPr>
                <w:rStyle w:val="EndnoteReference"/>
                <w:rFonts w:cs="Arial"/>
              </w:rPr>
              <w:endnoteReference w:id="53"/>
            </w:r>
            <w:r w:rsidRPr="00F85B35">
              <w:rPr>
                <w:rFonts w:cs="Arial"/>
              </w:rPr>
              <w:t xml:space="preserve">, walk in for hearing aid repairs (as they walk in for spectacle repairs today) and have better hearing outcomes. Community providers for example report record compliance rates at 90% or higher and they attribute this to </w:t>
            </w:r>
            <w:r w:rsidRPr="00F85B35">
              <w:rPr>
                <w:rFonts w:cs="Arial"/>
              </w:rPr>
              <w:lastRenderedPageBreak/>
              <w:t>accessibility of inclusive NHS follow-up and aftercare on demand</w:t>
            </w:r>
            <w:r w:rsidRPr="00F85B35">
              <w:rPr>
                <w:rStyle w:val="EndnoteReference"/>
                <w:rFonts w:cs="Arial"/>
              </w:rPr>
              <w:endnoteReference w:id="54"/>
            </w:r>
            <w:r w:rsidRPr="00F85B35">
              <w:rPr>
                <w:rFonts w:cs="Arial"/>
              </w:rPr>
              <w:t>.</w:t>
            </w:r>
          </w:p>
          <w:p w14:paraId="6120EA6F" w14:textId="77777777" w:rsidR="00A812B3" w:rsidRPr="00F85B35" w:rsidRDefault="00A812B3">
            <w:pPr>
              <w:rPr>
                <w:sz w:val="20"/>
              </w:rPr>
            </w:pPr>
          </w:p>
        </w:tc>
      </w:tr>
      <w:tr w:rsidR="00F85B35" w:rsidRPr="00F85B35" w14:paraId="1381E56A" w14:textId="77777777" w:rsidTr="003A06AF">
        <w:tc>
          <w:tcPr>
            <w:tcW w:w="1276" w:type="dxa"/>
            <w:tcBorders>
              <w:top w:val="single" w:sz="4" w:space="0" w:color="auto"/>
            </w:tcBorders>
          </w:tcPr>
          <w:p w14:paraId="7B913A01" w14:textId="77777777" w:rsidR="00A812B3" w:rsidRPr="00F85B35" w:rsidRDefault="00A812B3" w:rsidP="0044012A">
            <w:pPr>
              <w:jc w:val="center"/>
              <w:rPr>
                <w:sz w:val="20"/>
              </w:rPr>
            </w:pPr>
            <w:r w:rsidRPr="00F85B35">
              <w:rPr>
                <w:sz w:val="20"/>
              </w:rPr>
              <w:lastRenderedPageBreak/>
              <w:t>10</w:t>
            </w:r>
          </w:p>
        </w:tc>
        <w:tc>
          <w:tcPr>
            <w:tcW w:w="1276" w:type="dxa"/>
            <w:tcBorders>
              <w:top w:val="single" w:sz="4" w:space="0" w:color="auto"/>
            </w:tcBorders>
          </w:tcPr>
          <w:p w14:paraId="0D6B284F" w14:textId="77777777" w:rsidR="00A812B3" w:rsidRPr="00F85B35" w:rsidRDefault="00554469">
            <w:pPr>
              <w:rPr>
                <w:sz w:val="20"/>
              </w:rPr>
            </w:pPr>
            <w:r w:rsidRPr="00F85B35">
              <w:rPr>
                <w:sz w:val="20"/>
              </w:rPr>
              <w:t>Question 5.2</w:t>
            </w:r>
          </w:p>
        </w:tc>
        <w:tc>
          <w:tcPr>
            <w:tcW w:w="1276" w:type="dxa"/>
            <w:tcBorders>
              <w:top w:val="single" w:sz="4" w:space="0" w:color="auto"/>
            </w:tcBorders>
          </w:tcPr>
          <w:p w14:paraId="62F6208F" w14:textId="77777777" w:rsidR="00A812B3" w:rsidRPr="00F85B35" w:rsidRDefault="00BF2A30">
            <w:pPr>
              <w:rPr>
                <w:sz w:val="20"/>
              </w:rPr>
            </w:pPr>
            <w:r w:rsidRPr="00F85B35">
              <w:rPr>
                <w:sz w:val="20"/>
              </w:rPr>
              <w:t>106-107</w:t>
            </w:r>
          </w:p>
        </w:tc>
        <w:tc>
          <w:tcPr>
            <w:tcW w:w="6201" w:type="dxa"/>
            <w:tcBorders>
              <w:top w:val="single" w:sz="4" w:space="0" w:color="auto"/>
            </w:tcBorders>
          </w:tcPr>
          <w:p w14:paraId="794844D9" w14:textId="77777777" w:rsidR="001D2144" w:rsidRDefault="00554469" w:rsidP="00554469">
            <w:pPr>
              <w:rPr>
                <w:rFonts w:cs="Arial"/>
              </w:rPr>
            </w:pPr>
            <w:r w:rsidRPr="00F85B35">
              <w:rPr>
                <w:rFonts w:cs="Arial"/>
              </w:rPr>
              <w:t xml:space="preserve">With adult hearing assessments adhering to the agreed booking time is part of good </w:t>
            </w:r>
            <w:r w:rsidR="0059781C" w:rsidRPr="00F85B35">
              <w:rPr>
                <w:rFonts w:cs="Arial"/>
              </w:rPr>
              <w:t xml:space="preserve">service user </w:t>
            </w:r>
            <w:r w:rsidRPr="00F85B35">
              <w:rPr>
                <w:rFonts w:cs="Arial"/>
              </w:rPr>
              <w:t>care. For example, we think that it is unacceptable that the NHS has a system in place for people with sight problems where they can access diagnostics in primary care at a fixed time, but for hearing care people are forced</w:t>
            </w:r>
            <w:r w:rsidR="00CA415E">
              <w:rPr>
                <w:rFonts w:cs="Arial"/>
              </w:rPr>
              <w:t xml:space="preserve"> get a GP referral, </w:t>
            </w:r>
            <w:r w:rsidR="00763290">
              <w:rPr>
                <w:rFonts w:cs="Arial"/>
              </w:rPr>
              <w:t xml:space="preserve">90% are </w:t>
            </w:r>
            <w:r w:rsidR="00CA415E">
              <w:rPr>
                <w:rFonts w:cs="Arial"/>
              </w:rPr>
              <w:t>denied a choice</w:t>
            </w:r>
            <w:r w:rsidR="00763290">
              <w:rPr>
                <w:rFonts w:cs="Arial"/>
              </w:rPr>
              <w:t xml:space="preserve"> even in regions where one exists</w:t>
            </w:r>
            <w:r w:rsidR="00763290">
              <w:rPr>
                <w:rStyle w:val="EndnoteReference"/>
                <w:rFonts w:cs="Arial"/>
              </w:rPr>
              <w:endnoteReference w:id="55"/>
            </w:r>
            <w:r w:rsidR="00CA415E">
              <w:rPr>
                <w:rFonts w:cs="Arial"/>
              </w:rPr>
              <w:t xml:space="preserve">, and </w:t>
            </w:r>
            <w:r w:rsidR="00763290">
              <w:rPr>
                <w:rFonts w:cs="Arial"/>
              </w:rPr>
              <w:t xml:space="preserve">then </w:t>
            </w:r>
            <w:r w:rsidR="00CA415E">
              <w:rPr>
                <w:rFonts w:cs="Arial"/>
              </w:rPr>
              <w:t>have</w:t>
            </w:r>
            <w:r w:rsidRPr="00F85B35">
              <w:rPr>
                <w:rFonts w:cs="Arial"/>
              </w:rPr>
              <w:t xml:space="preserve"> to attend hospitals and have appointment times overrun. It highlights, as do many parts of the NHS hearing service, that the NHS treats people with hearing sensory impairment as second class citizens when compared with to those with visual sensory impairment (a bias rather than evidence-based differentiation).  </w:t>
            </w:r>
          </w:p>
          <w:p w14:paraId="0AFC4ED1" w14:textId="77777777" w:rsidR="001D2144" w:rsidRDefault="001D2144" w:rsidP="00554469">
            <w:pPr>
              <w:rPr>
                <w:rFonts w:cs="Arial"/>
              </w:rPr>
            </w:pPr>
          </w:p>
          <w:p w14:paraId="174C0131" w14:textId="6486306A" w:rsidR="00554469" w:rsidRPr="00F85B35" w:rsidRDefault="00554469" w:rsidP="00554469">
            <w:pPr>
              <w:rPr>
                <w:rFonts w:cs="Arial"/>
              </w:rPr>
            </w:pPr>
            <w:r w:rsidRPr="00F85B35">
              <w:rPr>
                <w:rFonts w:cs="Arial"/>
              </w:rPr>
              <w:t xml:space="preserve">We think there is a need to respect service user’s time and providers that are at capacity, need to be more transparent with their commissioners so that sufficient capacity is planned to deliver quality care and therefore maximise the changes of good hearing outcomes. In this sense we feel not being able to adhere to appointment times for routine diagnostics like adult hearing assessments is a sign of a system under pressure and this in intrinsically linked to poorer outcomes. </w:t>
            </w:r>
          </w:p>
          <w:p w14:paraId="59D67636" w14:textId="77777777" w:rsidR="00A812B3" w:rsidRPr="00F85B35" w:rsidRDefault="00A812B3">
            <w:pPr>
              <w:rPr>
                <w:sz w:val="20"/>
              </w:rPr>
            </w:pPr>
          </w:p>
        </w:tc>
      </w:tr>
      <w:tr w:rsidR="00F85B35" w:rsidRPr="00F85B35" w14:paraId="1EF0EF84" w14:textId="77777777" w:rsidTr="003A06AF">
        <w:tc>
          <w:tcPr>
            <w:tcW w:w="1276" w:type="dxa"/>
            <w:tcBorders>
              <w:top w:val="single" w:sz="4" w:space="0" w:color="auto"/>
            </w:tcBorders>
          </w:tcPr>
          <w:p w14:paraId="794AC748" w14:textId="77777777" w:rsidR="00A812B3" w:rsidRPr="00F85B35" w:rsidRDefault="00A812B3" w:rsidP="0044012A">
            <w:pPr>
              <w:jc w:val="center"/>
              <w:rPr>
                <w:sz w:val="20"/>
              </w:rPr>
            </w:pPr>
            <w:r w:rsidRPr="00F85B35">
              <w:rPr>
                <w:sz w:val="20"/>
              </w:rPr>
              <w:t>11</w:t>
            </w:r>
          </w:p>
        </w:tc>
        <w:tc>
          <w:tcPr>
            <w:tcW w:w="1276" w:type="dxa"/>
            <w:tcBorders>
              <w:top w:val="single" w:sz="4" w:space="0" w:color="auto"/>
            </w:tcBorders>
          </w:tcPr>
          <w:p w14:paraId="44CC02B4" w14:textId="77777777" w:rsidR="00A812B3" w:rsidRPr="00F85B35" w:rsidRDefault="00554469">
            <w:pPr>
              <w:rPr>
                <w:sz w:val="20"/>
              </w:rPr>
            </w:pPr>
            <w:r w:rsidRPr="00F85B35">
              <w:rPr>
                <w:sz w:val="20"/>
              </w:rPr>
              <w:t>Question 6.1</w:t>
            </w:r>
          </w:p>
        </w:tc>
        <w:tc>
          <w:tcPr>
            <w:tcW w:w="1276" w:type="dxa"/>
            <w:tcBorders>
              <w:top w:val="single" w:sz="4" w:space="0" w:color="auto"/>
            </w:tcBorders>
          </w:tcPr>
          <w:p w14:paraId="61907C72" w14:textId="77777777" w:rsidR="00A812B3" w:rsidRPr="00F85B35" w:rsidRDefault="00BF2A30">
            <w:pPr>
              <w:rPr>
                <w:sz w:val="20"/>
              </w:rPr>
            </w:pPr>
            <w:r w:rsidRPr="00F85B35">
              <w:rPr>
                <w:sz w:val="20"/>
              </w:rPr>
              <w:t>110-112</w:t>
            </w:r>
          </w:p>
        </w:tc>
        <w:tc>
          <w:tcPr>
            <w:tcW w:w="6201" w:type="dxa"/>
            <w:tcBorders>
              <w:top w:val="single" w:sz="4" w:space="0" w:color="auto"/>
            </w:tcBorders>
          </w:tcPr>
          <w:p w14:paraId="7F02FF12" w14:textId="77777777" w:rsidR="00554469" w:rsidRPr="00F85B35" w:rsidRDefault="00554469" w:rsidP="00554469">
            <w:pPr>
              <w:rPr>
                <w:rFonts w:cs="Arial"/>
                <w:bCs/>
                <w:lang w:val="en"/>
              </w:rPr>
            </w:pPr>
            <w:r w:rsidRPr="00F85B35">
              <w:rPr>
                <w:rFonts w:cs="Arial"/>
                <w:bCs/>
                <w:lang w:val="en"/>
              </w:rPr>
              <w:t xml:space="preserve">As noted above, there are far too many people with undiagnosed age-related hearing loss in England. </w:t>
            </w:r>
          </w:p>
          <w:p w14:paraId="310057B1" w14:textId="77777777" w:rsidR="00554469" w:rsidRPr="00F85B35" w:rsidRDefault="00554469" w:rsidP="00554469">
            <w:pPr>
              <w:rPr>
                <w:rFonts w:cs="Arial"/>
                <w:bCs/>
                <w:lang w:val="en"/>
              </w:rPr>
            </w:pPr>
          </w:p>
          <w:p w14:paraId="7530E868" w14:textId="77777777" w:rsidR="00554469" w:rsidRPr="00F85B35" w:rsidRDefault="00554469" w:rsidP="00554469">
            <w:pPr>
              <w:rPr>
                <w:rFonts w:cs="Arial"/>
                <w:bCs/>
                <w:lang w:val="en"/>
              </w:rPr>
            </w:pPr>
            <w:r w:rsidRPr="00F85B35">
              <w:rPr>
                <w:rFonts w:cs="Arial"/>
                <w:bCs/>
                <w:lang w:val="en"/>
              </w:rPr>
              <w:t>Increasing awareness about hearing loss is highlighted as a priority in NHS England and Department of Health’s Action Plan on Hearing Loss</w:t>
            </w:r>
            <w:r w:rsidRPr="00F85B35">
              <w:rPr>
                <w:rStyle w:val="EndnoteReference"/>
                <w:rFonts w:cs="Arial"/>
                <w:bCs/>
                <w:lang w:val="en"/>
              </w:rPr>
              <w:endnoteReference w:id="56"/>
            </w:r>
            <w:r w:rsidRPr="00F85B35">
              <w:rPr>
                <w:rFonts w:cs="Arial"/>
                <w:bCs/>
                <w:lang w:val="en"/>
              </w:rPr>
              <w:t xml:space="preserve"> and this should be the primary focus with respect to information and support for people thinking about accessing diagnostic services for their hearing loss.</w:t>
            </w:r>
          </w:p>
          <w:p w14:paraId="7050C614" w14:textId="77777777" w:rsidR="00554469" w:rsidRPr="00F85B35" w:rsidRDefault="00554469" w:rsidP="00554469">
            <w:pPr>
              <w:rPr>
                <w:rFonts w:cs="Arial"/>
                <w:bCs/>
                <w:lang w:val="en"/>
              </w:rPr>
            </w:pPr>
          </w:p>
          <w:p w14:paraId="65CBE779" w14:textId="77777777" w:rsidR="00554469" w:rsidRPr="00F85B35" w:rsidRDefault="00554469" w:rsidP="00554469">
            <w:pPr>
              <w:rPr>
                <w:rFonts w:cs="Arial"/>
              </w:rPr>
            </w:pPr>
            <w:r w:rsidRPr="00F85B35">
              <w:rPr>
                <w:rFonts w:cs="Arial"/>
                <w:bCs/>
                <w:lang w:val="en"/>
              </w:rPr>
              <w:t>For example people are more likely to access diagnostic services for their hearing loss if they understand that early h</w:t>
            </w:r>
            <w:r w:rsidRPr="00F85B35">
              <w:rPr>
                <w:rFonts w:cs="Arial"/>
              </w:rPr>
              <w:t>earing intervention and on-going support can improve their quality of life by reducing the psychological and social effects associated with age-related hearing loss</w:t>
            </w:r>
            <w:r w:rsidRPr="00F85B35">
              <w:rPr>
                <w:rStyle w:val="EndnoteReference"/>
                <w:rFonts w:cs="Arial"/>
              </w:rPr>
              <w:endnoteReference w:id="57"/>
            </w:r>
            <w:r w:rsidRPr="00F85B35">
              <w:rPr>
                <w:rFonts w:cs="Arial"/>
              </w:rPr>
              <w:t>.  NHS England and Age UK recently published a practical guide to ageing which also advises people to get their hearing tested early on to reduce the risk of functional decline</w:t>
            </w:r>
            <w:r w:rsidRPr="00F85B35">
              <w:rPr>
                <w:rStyle w:val="EndnoteReference"/>
                <w:rFonts w:cs="Arial"/>
              </w:rPr>
              <w:endnoteReference w:id="58"/>
            </w:r>
            <w:r w:rsidRPr="00F85B35">
              <w:rPr>
                <w:rFonts w:cs="Arial"/>
              </w:rPr>
              <w:t>, and NICE also advises that hearing tests are important part of ensuring wellbeing of older people living in care homes</w:t>
            </w:r>
            <w:r w:rsidRPr="00F85B35">
              <w:rPr>
                <w:rStyle w:val="EndnoteReference"/>
                <w:rFonts w:cs="Arial"/>
              </w:rPr>
              <w:endnoteReference w:id="59"/>
            </w:r>
            <w:r w:rsidRPr="00F85B35">
              <w:rPr>
                <w:rFonts w:cs="Arial"/>
              </w:rPr>
              <w:t xml:space="preserve">. </w:t>
            </w:r>
          </w:p>
          <w:p w14:paraId="5A7BF0AF" w14:textId="77777777" w:rsidR="00554469" w:rsidRPr="00F85B35" w:rsidRDefault="00554469" w:rsidP="00554469">
            <w:pPr>
              <w:rPr>
                <w:rFonts w:cs="Arial"/>
                <w:bCs/>
                <w:lang w:val="en"/>
              </w:rPr>
            </w:pPr>
          </w:p>
          <w:p w14:paraId="5FCD60B5" w14:textId="77777777" w:rsidR="00554469" w:rsidRPr="00F85B35" w:rsidRDefault="00554469" w:rsidP="00554469">
            <w:pPr>
              <w:rPr>
                <w:rFonts w:cs="Arial"/>
                <w:bCs/>
                <w:lang w:val="en"/>
              </w:rPr>
            </w:pPr>
            <w:r w:rsidRPr="00F85B35">
              <w:rPr>
                <w:rFonts w:cs="Arial"/>
                <w:bCs/>
                <w:lang w:val="en"/>
              </w:rPr>
              <w:t xml:space="preserve">In our view undiagnosed hearing loss would be less of a challenge if CCGs and GPs encouraged, rather than </w:t>
            </w:r>
            <w:r w:rsidRPr="00F85B35">
              <w:rPr>
                <w:rFonts w:cs="Arial"/>
                <w:bCs/>
                <w:lang w:val="en"/>
              </w:rPr>
              <w:lastRenderedPageBreak/>
              <w:t>blocked</w:t>
            </w:r>
            <w:r w:rsidRPr="00F85B35">
              <w:rPr>
                <w:rStyle w:val="EndnoteReference"/>
                <w:rFonts w:cs="Arial"/>
                <w:bCs/>
                <w:lang w:val="en"/>
              </w:rPr>
              <w:endnoteReference w:id="60"/>
            </w:r>
            <w:r w:rsidRPr="00F85B35">
              <w:rPr>
                <w:rFonts w:cs="Arial"/>
                <w:bCs/>
                <w:lang w:val="en"/>
              </w:rPr>
              <w:t>, informing people about the benefits of getting hearing loss diagnosed and addressed.</w:t>
            </w:r>
          </w:p>
          <w:p w14:paraId="6503F89C" w14:textId="77777777" w:rsidR="00554469" w:rsidRPr="00F85B35" w:rsidRDefault="00554469" w:rsidP="00554469">
            <w:pPr>
              <w:rPr>
                <w:rFonts w:cs="Arial"/>
                <w:bCs/>
                <w:lang w:val="en"/>
              </w:rPr>
            </w:pPr>
          </w:p>
          <w:p w14:paraId="64657859" w14:textId="77777777" w:rsidR="00554469" w:rsidRPr="00F85B35" w:rsidRDefault="00554469" w:rsidP="00554469">
            <w:pPr>
              <w:rPr>
                <w:rFonts w:cs="Arial"/>
                <w:bCs/>
                <w:lang w:val="en"/>
              </w:rPr>
            </w:pPr>
            <w:r w:rsidRPr="00F85B35">
              <w:rPr>
                <w:rFonts w:cs="Arial"/>
                <w:bCs/>
                <w:lang w:val="en"/>
              </w:rPr>
              <w:t>Therefore in our view the root cause of problems in diagnostics for adult hearing loss is not that providers do not know what information service users want and need, but rather that not all CCGs and GPs are keen to invest in the public health interventions required once hearing loss has been diagnosed.  This of course creates health inequalities for older people because 96% of people with hearing loss are aged 41 and over but, despite the Equality Act 2010, there is still a cultural challenge in parts of the NHS with respect to age-related conditions.</w:t>
            </w:r>
          </w:p>
          <w:p w14:paraId="23C6DBF4" w14:textId="77777777" w:rsidR="00A812B3" w:rsidRPr="00F85B35" w:rsidRDefault="00A812B3">
            <w:pPr>
              <w:rPr>
                <w:sz w:val="20"/>
              </w:rPr>
            </w:pPr>
          </w:p>
        </w:tc>
      </w:tr>
    </w:tbl>
    <w:p w14:paraId="0EA0985E" w14:textId="77777777" w:rsidR="003A06AF" w:rsidRDefault="003A06AF">
      <w:pPr>
        <w:rPr>
          <w:sz w:val="20"/>
        </w:rPr>
      </w:pPr>
    </w:p>
    <w:p w14:paraId="1A83F47B" w14:textId="77777777" w:rsidR="001A1D8A" w:rsidRPr="00F85B35" w:rsidRDefault="00676CE4">
      <w:pPr>
        <w:rPr>
          <w:sz w:val="20"/>
        </w:rPr>
      </w:pPr>
      <w:r w:rsidRPr="00F85B35">
        <w:rPr>
          <w:sz w:val="20"/>
        </w:rPr>
        <w:t>Add extra rows if needed</w:t>
      </w:r>
    </w:p>
    <w:p w14:paraId="5346CB1B" w14:textId="77777777" w:rsidR="00676CE4" w:rsidRPr="00F85B35" w:rsidRDefault="00676CE4">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676CE4" w:rsidRPr="00F85B35" w14:paraId="4FBC3F88" w14:textId="77777777" w:rsidTr="009A4A5A">
        <w:tc>
          <w:tcPr>
            <w:tcW w:w="10137" w:type="dxa"/>
            <w:shd w:val="clear" w:color="auto" w:fill="auto"/>
          </w:tcPr>
          <w:p w14:paraId="5DEA9C08" w14:textId="77777777" w:rsidR="00676CE4" w:rsidRPr="00F85B35" w:rsidRDefault="00676CE4" w:rsidP="00676CE4">
            <w:pPr>
              <w:rPr>
                <w:b/>
                <w:sz w:val="24"/>
                <w:szCs w:val="24"/>
              </w:rPr>
            </w:pPr>
            <w:r w:rsidRPr="00F85B35">
              <w:rPr>
                <w:b/>
                <w:sz w:val="24"/>
                <w:szCs w:val="24"/>
              </w:rPr>
              <w:t>Checklist for submitting comments</w:t>
            </w:r>
          </w:p>
          <w:p w14:paraId="0C70B4DA" w14:textId="77777777" w:rsidR="00676CE4" w:rsidRPr="00F85B35" w:rsidRDefault="00676CE4" w:rsidP="00A71026">
            <w:pPr>
              <w:numPr>
                <w:ilvl w:val="0"/>
                <w:numId w:val="7"/>
              </w:numPr>
              <w:ind w:left="714" w:hanging="357"/>
              <w:rPr>
                <w:sz w:val="24"/>
                <w:szCs w:val="24"/>
              </w:rPr>
            </w:pPr>
            <w:r w:rsidRPr="00F85B35">
              <w:rPr>
                <w:sz w:val="24"/>
                <w:szCs w:val="24"/>
              </w:rPr>
              <w:t>Use this form and submit it as a Word document (not a PDF).</w:t>
            </w:r>
          </w:p>
          <w:p w14:paraId="5AD6CFC8" w14:textId="77777777" w:rsidR="001F1201" w:rsidRPr="00F85B35" w:rsidRDefault="001F1201" w:rsidP="00A71026">
            <w:pPr>
              <w:numPr>
                <w:ilvl w:val="0"/>
                <w:numId w:val="7"/>
              </w:numPr>
              <w:ind w:left="714" w:hanging="357"/>
              <w:rPr>
                <w:sz w:val="24"/>
                <w:szCs w:val="24"/>
              </w:rPr>
            </w:pPr>
            <w:r w:rsidRPr="00F85B35">
              <w:rPr>
                <w:sz w:val="24"/>
                <w:szCs w:val="24"/>
              </w:rPr>
              <w:t>Include page and line number (not section number) of the text each comment is about.</w:t>
            </w:r>
          </w:p>
          <w:p w14:paraId="7DEE1B85" w14:textId="77777777" w:rsidR="00676CE4" w:rsidRPr="00F85B35" w:rsidRDefault="00676CE4" w:rsidP="00A71026">
            <w:pPr>
              <w:numPr>
                <w:ilvl w:val="0"/>
                <w:numId w:val="7"/>
              </w:numPr>
              <w:ind w:left="714" w:hanging="357"/>
              <w:rPr>
                <w:sz w:val="24"/>
                <w:szCs w:val="24"/>
              </w:rPr>
            </w:pPr>
            <w:r w:rsidRPr="00F85B35">
              <w:rPr>
                <w:sz w:val="24"/>
                <w:szCs w:val="24"/>
              </w:rPr>
              <w:t xml:space="preserve">Combine all comments from your organisation into 1 response. We cannot accept more than 1 response from each organisation. </w:t>
            </w:r>
          </w:p>
          <w:p w14:paraId="32A2C4CA" w14:textId="77777777" w:rsidR="00676CE4" w:rsidRPr="00F85B35" w:rsidRDefault="00676CE4" w:rsidP="00A71026">
            <w:pPr>
              <w:numPr>
                <w:ilvl w:val="0"/>
                <w:numId w:val="7"/>
              </w:numPr>
              <w:ind w:left="714" w:hanging="357"/>
              <w:rPr>
                <w:sz w:val="24"/>
                <w:szCs w:val="24"/>
              </w:rPr>
            </w:pPr>
            <w:r w:rsidRPr="00F85B35">
              <w:rPr>
                <w:sz w:val="24"/>
                <w:szCs w:val="24"/>
              </w:rPr>
              <w:t>Do not paste other tables into this table – type directly into the table.</w:t>
            </w:r>
          </w:p>
          <w:p w14:paraId="29643C72" w14:textId="77777777" w:rsidR="00676CE4" w:rsidRPr="00F85B35" w:rsidRDefault="00676CE4" w:rsidP="00A71026">
            <w:pPr>
              <w:numPr>
                <w:ilvl w:val="0"/>
                <w:numId w:val="7"/>
              </w:numPr>
              <w:ind w:left="714" w:hanging="357"/>
              <w:rPr>
                <w:sz w:val="24"/>
                <w:szCs w:val="24"/>
              </w:rPr>
            </w:pPr>
            <w:r w:rsidRPr="00F85B35">
              <w:rPr>
                <w:sz w:val="24"/>
                <w:szCs w:val="24"/>
              </w:rPr>
              <w:t xml:space="preserve">Underline and highlight any confidential information or other material that you do not wish to be made public. </w:t>
            </w:r>
          </w:p>
          <w:p w14:paraId="056FAAB3" w14:textId="77777777" w:rsidR="00676CE4" w:rsidRPr="00F85B35" w:rsidRDefault="00676CE4" w:rsidP="00A71026">
            <w:pPr>
              <w:numPr>
                <w:ilvl w:val="0"/>
                <w:numId w:val="7"/>
              </w:numPr>
              <w:ind w:left="714" w:hanging="357"/>
              <w:rPr>
                <w:sz w:val="24"/>
                <w:szCs w:val="24"/>
              </w:rPr>
            </w:pPr>
            <w:r w:rsidRPr="00F85B35">
              <w:rPr>
                <w:sz w:val="24"/>
                <w:szCs w:val="24"/>
              </w:rPr>
              <w:t xml:space="preserve">Do not include medical information about yourself or another person from which you or the person could be identified. </w:t>
            </w:r>
          </w:p>
          <w:p w14:paraId="27F43ADE" w14:textId="77777777" w:rsidR="00676CE4" w:rsidRPr="00F85B35" w:rsidRDefault="00676CE4" w:rsidP="00A71026">
            <w:pPr>
              <w:numPr>
                <w:ilvl w:val="0"/>
                <w:numId w:val="7"/>
              </w:numPr>
              <w:ind w:left="714" w:hanging="357"/>
              <w:rPr>
                <w:sz w:val="24"/>
                <w:szCs w:val="24"/>
              </w:rPr>
            </w:pPr>
            <w:r w:rsidRPr="00F85B35">
              <w:rPr>
                <w:sz w:val="24"/>
                <w:szCs w:val="24"/>
              </w:rPr>
              <w:t>Spell out any abbreviations you use</w:t>
            </w:r>
          </w:p>
          <w:p w14:paraId="5F832612" w14:textId="77777777" w:rsidR="00676CE4" w:rsidRPr="00F85B35" w:rsidRDefault="00676CE4" w:rsidP="00A71026">
            <w:pPr>
              <w:numPr>
                <w:ilvl w:val="0"/>
                <w:numId w:val="7"/>
              </w:numPr>
              <w:ind w:left="714" w:hanging="357"/>
              <w:rPr>
                <w:sz w:val="24"/>
                <w:szCs w:val="24"/>
              </w:rPr>
            </w:pPr>
            <w:r w:rsidRPr="00F85B35">
              <w:rPr>
                <w:sz w:val="24"/>
                <w:szCs w:val="24"/>
              </w:rPr>
              <w:t>For copyright reasons, do not include attachments such as research articles, letters or leaflets. We return comments forms that have attachments without reading them. The stakeholder may resubmit the form without attachments.</w:t>
            </w:r>
          </w:p>
          <w:p w14:paraId="45586F0F" w14:textId="77777777" w:rsidR="00A71026" w:rsidRPr="00F85B35" w:rsidRDefault="00A71026" w:rsidP="00676CE4">
            <w:pPr>
              <w:rPr>
                <w:sz w:val="24"/>
                <w:szCs w:val="24"/>
              </w:rPr>
            </w:pPr>
          </w:p>
          <w:p w14:paraId="6CA96937" w14:textId="77777777" w:rsidR="00A71026" w:rsidRPr="00F85B35" w:rsidRDefault="00A71026" w:rsidP="00A71026">
            <w:pPr>
              <w:pStyle w:val="NICEnormal"/>
              <w:spacing w:after="120" w:line="240" w:lineRule="auto"/>
              <w:rPr>
                <w:rFonts w:cs="Arial"/>
                <w:lang w:val="en-GB"/>
              </w:rPr>
            </w:pPr>
            <w:r w:rsidRPr="00F85B35">
              <w:rPr>
                <w:rFonts w:cs="Arial"/>
                <w:b/>
                <w:lang w:val="en-GB"/>
              </w:rPr>
              <w:t>Note:</w:t>
            </w:r>
            <w:r w:rsidRPr="00F85B35">
              <w:rPr>
                <w:rFonts w:cs="Arial"/>
                <w:lang w:val="en-GB"/>
              </w:rPr>
              <w:t xml:space="preserve"> We reserve the right to summarise and edit comments received during consultations, or not to publish them at all, if we consider the comments are too long, or publication would be unlawful or otherwise inappropriate.</w:t>
            </w:r>
          </w:p>
          <w:p w14:paraId="3A3649DC" w14:textId="77777777" w:rsidR="00A71026" w:rsidRPr="00F85B35" w:rsidRDefault="00A71026" w:rsidP="00A71026">
            <w:pPr>
              <w:rPr>
                <w:sz w:val="20"/>
              </w:rPr>
            </w:pPr>
            <w:r w:rsidRPr="00F85B35">
              <w:rPr>
                <w:rFonts w:cs="Arial"/>
                <w:bCs/>
                <w:sz w:val="24"/>
                <w:szCs w:val="24"/>
              </w:rPr>
              <w:t>Comments received during our consultations are published in the interests of openness and transparency, and to promote understanding of how recommendations are developed. The comments are published as a record of the comments we received, and are not endorsed by NICE, its officers or advisory Committees.</w:t>
            </w:r>
          </w:p>
        </w:tc>
      </w:tr>
    </w:tbl>
    <w:p w14:paraId="03DE309B" w14:textId="77777777" w:rsidR="00676CE4" w:rsidRPr="00F85B35" w:rsidRDefault="00676CE4">
      <w:pPr>
        <w:rPr>
          <w:sz w:val="20"/>
        </w:rPr>
      </w:pPr>
    </w:p>
    <w:p w14:paraId="7DFB68DF" w14:textId="77777777" w:rsidR="00676CE4" w:rsidRPr="00F85B35" w:rsidRDefault="00676CE4">
      <w:pPr>
        <w:rPr>
          <w:b/>
          <w:sz w:val="24"/>
          <w:szCs w:val="24"/>
        </w:rPr>
      </w:pPr>
    </w:p>
    <w:sectPr w:rsidR="00676CE4" w:rsidRPr="00F85B35" w:rsidSect="00B94F7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440" w:right="851"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9CECA" w14:textId="77777777" w:rsidR="00BB4271" w:rsidRDefault="00BB4271" w:rsidP="00E66C63">
      <w:r>
        <w:separator/>
      </w:r>
    </w:p>
  </w:endnote>
  <w:endnote w:type="continuationSeparator" w:id="0">
    <w:p w14:paraId="377B32E8" w14:textId="77777777" w:rsidR="00BB4271" w:rsidRDefault="00BB4271" w:rsidP="00E66C63">
      <w:r>
        <w:continuationSeparator/>
      </w:r>
    </w:p>
  </w:endnote>
  <w:endnote w:type="continuationNotice" w:id="1">
    <w:p w14:paraId="5A5CEE23" w14:textId="77777777" w:rsidR="00BB4271" w:rsidRDefault="00BB4271"/>
  </w:endnote>
  <w:endnote w:id="2">
    <w:p w14:paraId="1E3A8B91" w14:textId="77777777" w:rsidR="00666026" w:rsidRPr="009541B6" w:rsidRDefault="00666026" w:rsidP="00666026">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Right Care (2013) Atlas of Variation, Map 23 (page 102) and Map 24 (page 104)</w:t>
      </w:r>
    </w:p>
    <w:p w14:paraId="4708F3AC" w14:textId="77777777" w:rsidR="00666026" w:rsidRPr="009541B6" w:rsidRDefault="00666026" w:rsidP="00666026">
      <w:pPr>
        <w:pStyle w:val="EndnoteText"/>
        <w:contextualSpacing/>
        <w:rPr>
          <w:rFonts w:cs="Arial"/>
          <w:sz w:val="18"/>
          <w:szCs w:val="18"/>
        </w:rPr>
      </w:pPr>
    </w:p>
  </w:endnote>
  <w:endnote w:id="3">
    <w:p w14:paraId="3D78D797" w14:textId="77777777" w:rsidR="00666026" w:rsidRPr="009541B6" w:rsidRDefault="00666026" w:rsidP="00666026">
      <w:pPr>
        <w:pStyle w:val="EndnoteText"/>
        <w:contextualSpacing/>
        <w:jc w:val="both"/>
        <w:rPr>
          <w:rFonts w:cs="Arial"/>
          <w:sz w:val="18"/>
          <w:szCs w:val="18"/>
        </w:rPr>
      </w:pPr>
      <w:r w:rsidRPr="009541B6">
        <w:rPr>
          <w:rStyle w:val="EndnoteReference"/>
          <w:rFonts w:cs="Arial"/>
          <w:sz w:val="18"/>
          <w:szCs w:val="18"/>
        </w:rPr>
        <w:endnoteRef/>
      </w:r>
      <w:r w:rsidRPr="009541B6">
        <w:rPr>
          <w:rFonts w:cs="Arial"/>
          <w:sz w:val="18"/>
          <w:szCs w:val="18"/>
        </w:rPr>
        <w:t xml:space="preserve"> RNID, 1988. Hearing aids a case for change. p. 5: RNID, 1999. Waiting to Hear. London p. 21; Department of Health, 2007. Evidence Submission to Health Select Committee. pp.74-75 in Health Committee, House of Commons, 2007. Audiology Services. (HC 392, Fifth Report of Session 2006-7) – Report, together with formal minutes, oral and written evidence. London: The Stationary Office Limited; Department of Health, 2007. Improving Access to Audiology Services in England. Leeds: Department of Health; Department of Health, 2009. Hearing Services for Older People. London: Department of Health; NHS Improvement, 2010. Audiology Improvement Programme: Pushing the boundaries: Evidence to support the delivery of good practice in audiology. Leicester: NHS Improvement.</w:t>
      </w:r>
      <w:r w:rsidRPr="009541B6">
        <w:rPr>
          <w:rFonts w:cs="Arial"/>
          <w:sz w:val="18"/>
          <w:szCs w:val="18"/>
          <w:lang w:val="en-US"/>
        </w:rPr>
        <w:t xml:space="preserve"> </w:t>
      </w:r>
      <w:hyperlink r:id="rId1" w:history="1">
        <w:r w:rsidRPr="009541B6">
          <w:rPr>
            <w:rStyle w:val="Hyperlink"/>
            <w:rFonts w:cs="Arial"/>
            <w:sz w:val="18"/>
            <w:szCs w:val="18"/>
          </w:rPr>
          <w:t>p.5</w:t>
        </w:r>
      </w:hyperlink>
      <w:r w:rsidRPr="009541B6">
        <w:rPr>
          <w:rStyle w:val="Hyperlink"/>
          <w:rFonts w:cs="Arial"/>
          <w:sz w:val="18"/>
          <w:szCs w:val="18"/>
        </w:rPr>
        <w:t xml:space="preserve">; </w:t>
      </w:r>
      <w:r w:rsidRPr="009541B6">
        <w:rPr>
          <w:rFonts w:cs="Arial"/>
          <w:sz w:val="18"/>
          <w:szCs w:val="18"/>
        </w:rPr>
        <w:t xml:space="preserve">Action on Hearing Loss, 2011. Hearing Matters. P.68; </w:t>
      </w:r>
    </w:p>
    <w:p w14:paraId="5FF387FB" w14:textId="77777777" w:rsidR="00666026" w:rsidRPr="009541B6" w:rsidRDefault="00666026" w:rsidP="00666026">
      <w:pPr>
        <w:pStyle w:val="EndnoteText"/>
        <w:contextualSpacing/>
        <w:rPr>
          <w:rFonts w:cs="Arial"/>
          <w:sz w:val="18"/>
          <w:szCs w:val="18"/>
          <w:lang w:val="en-US"/>
        </w:rPr>
      </w:pPr>
    </w:p>
  </w:endnote>
  <w:endnote w:id="4">
    <w:p w14:paraId="1CB49701" w14:textId="77777777" w:rsidR="00666026" w:rsidRPr="009541B6" w:rsidRDefault="00666026" w:rsidP="00666026">
      <w:pPr>
        <w:pStyle w:val="EndnoteText"/>
        <w:contextualSpacing/>
        <w:jc w:val="both"/>
        <w:rPr>
          <w:rFonts w:cs="Arial"/>
          <w:sz w:val="18"/>
          <w:szCs w:val="18"/>
        </w:rPr>
      </w:pPr>
      <w:r w:rsidRPr="009541B6">
        <w:rPr>
          <w:rStyle w:val="EndnoteReference"/>
          <w:rFonts w:cs="Arial"/>
          <w:sz w:val="18"/>
          <w:szCs w:val="18"/>
        </w:rPr>
        <w:endnoteRef/>
      </w:r>
      <w:r w:rsidRPr="009541B6">
        <w:rPr>
          <w:rFonts w:cs="Arial"/>
          <w:sz w:val="18"/>
          <w:szCs w:val="18"/>
        </w:rPr>
        <w:t xml:space="preserve"> NHS England and Department of Health, 2015, Action Plan on Hearing Loss </w:t>
      </w:r>
      <w:hyperlink r:id="rId2" w:history="1">
        <w:r w:rsidRPr="009541B6">
          <w:rPr>
            <w:rStyle w:val="Hyperlink"/>
            <w:rFonts w:cs="Arial"/>
            <w:sz w:val="18"/>
            <w:szCs w:val="18"/>
          </w:rPr>
          <w:t>http://www.england.nhs.uk/wp-content/uploads/2015/03/act-plan-hearing-loss-upd.pdf</w:t>
        </w:r>
      </w:hyperlink>
    </w:p>
    <w:p w14:paraId="5711CDA4" w14:textId="77777777" w:rsidR="00666026" w:rsidRPr="009541B6" w:rsidRDefault="00666026" w:rsidP="00666026">
      <w:pPr>
        <w:pStyle w:val="EndnoteText"/>
        <w:contextualSpacing/>
        <w:rPr>
          <w:rFonts w:cs="Arial"/>
          <w:sz w:val="18"/>
          <w:szCs w:val="18"/>
          <w:lang w:val="en-US"/>
        </w:rPr>
      </w:pPr>
    </w:p>
  </w:endnote>
  <w:endnote w:id="5">
    <w:p w14:paraId="610AE2F8" w14:textId="77777777" w:rsidR="00666026" w:rsidRPr="009541B6" w:rsidRDefault="00666026" w:rsidP="00666026">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and reference cost data provided above.</w:t>
      </w:r>
    </w:p>
    <w:p w14:paraId="79B22E7D" w14:textId="77777777" w:rsidR="00666026" w:rsidRPr="009541B6" w:rsidRDefault="00666026" w:rsidP="00666026">
      <w:pPr>
        <w:pStyle w:val="EndnoteText"/>
        <w:contextualSpacing/>
        <w:rPr>
          <w:rFonts w:cs="Arial"/>
          <w:sz w:val="18"/>
          <w:szCs w:val="18"/>
          <w:lang w:val="en-US"/>
        </w:rPr>
      </w:pPr>
    </w:p>
  </w:endnote>
  <w:endnote w:id="6">
    <w:p w14:paraId="43AE6EEA" w14:textId="77777777" w:rsidR="00666026" w:rsidRPr="009541B6" w:rsidRDefault="00666026" w:rsidP="00666026">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SEE follow sources for a guide to systemic system shortcomings and resistance to change even when independent evidence shows community-based services have advantages over the hospital model of care. SEE: </w:t>
      </w:r>
      <w:r w:rsidRPr="009541B6">
        <w:rPr>
          <w:rFonts w:cs="Arial"/>
          <w:color w:val="333132"/>
          <w:sz w:val="18"/>
          <w:szCs w:val="18"/>
        </w:rPr>
        <w:t xml:space="preserve">Johnson, J. et al., (1984). “A survey of National Health Service hearing aid services. An RNID Scientific and Technical Department Report”. RNID, London; RNID, Age Concern and British Association of the Hard of Hearing (1986) Breaking the Sound Barrier; RNID (1988) “Hearing aids the case for change”. London; RNID (1999) “Waiting to hear? A report on waiting times for hearing tests” RNID, London; Audit Commission, (2000). “Fully equipped: the provision of equipment to older or disabled people by the NHS and social services in England and Wales” Audit Commission, London; Jayarajan, V. and Rangan, S. 2000. Evaluation of hearing-aid provision in adults. Journal of Audiological Medicine, 9(1), pp. 25-34; RNID (2001) “Audiology in crisis, still waiting to hear”. RNID, London; </w:t>
      </w:r>
      <w:r w:rsidRPr="009541B6">
        <w:rPr>
          <w:rFonts w:cs="Arial"/>
          <w:sz w:val="18"/>
          <w:szCs w:val="18"/>
        </w:rPr>
        <w:t xml:space="preserve">Davis A, 2003.  Private Sector Dispenser Pilot Evaluation November 2003 Executive Summary; Davis, A.2005. Effective ways for implementing research in a clinical environment: benefits, barriers and future challenges. P. Littlejohns 2005. Delivering Quality in the NHS 2005. Oxon: Radcliffe Publishing Ltd; Department of Health, 2007. Good Practice in Transforming Adult Hearing Services for Patients with Hearing Difficulty. Leeds: Department of Health; Department of Health, 2007. Improving Access to Audiology Services in England. Leeds: Department of Health; Department of Health, 2007. Evidence Submission to Health Select Committee. pp.74-75 in Health Committee, House of Commons, 2007. Audiology Services. (HC 392, Fifth Report of Session 2006-7) – Report, together with formal minutes, oral and written evidence. London: The Stationary Office Limited; Health Committee, House of Commons, 2007. Audiology Services. (HC 392, Fifth Report of Session 2006-7) – Report, together with formal minutes, oral and written evidence. London: The Stationary Office Limited; Ross, L. 2008. Modernizing times: UK hearing-impaired consumers at the policy crossroads.  International Journal of Consumer Studies, 32 (2), pp. 122-127; NHS Improvement, 2011. NHS Improvement: The best of clinical pathway redesign. Practical examples delivering benefits to patients. Leicester: NHS Improvement; Hind et al. 2011. </w:t>
      </w:r>
      <w:r w:rsidRPr="009541B6">
        <w:rPr>
          <w:rFonts w:cs="Arial"/>
          <w:sz w:val="18"/>
          <w:szCs w:val="18"/>
          <w:lang w:val="en-US"/>
        </w:rPr>
        <w:t>Prevalence of clinical referrals having hearing thresholds within normal limits. International Journal of Audiology 2011; 50: 708–716;</w:t>
      </w:r>
      <w:r w:rsidRPr="009541B6">
        <w:rPr>
          <w:rFonts w:cs="Arial"/>
          <w:sz w:val="18"/>
          <w:szCs w:val="18"/>
        </w:rPr>
        <w:t xml:space="preserve"> Hind et al. 2011. </w:t>
      </w:r>
      <w:r w:rsidRPr="009541B6">
        <w:rPr>
          <w:rFonts w:cs="Arial"/>
          <w:sz w:val="18"/>
          <w:szCs w:val="18"/>
          <w:lang w:val="en-US"/>
        </w:rPr>
        <w:t xml:space="preserve">Prevalence of clinical referrals having hearing thresholds within normal limits. International Journal of Audiology 2011; 50: 708–716; </w:t>
      </w:r>
      <w:r w:rsidRPr="009541B6">
        <w:rPr>
          <w:rFonts w:cs="Arial"/>
          <w:sz w:val="18"/>
          <w:szCs w:val="18"/>
        </w:rPr>
        <w:t xml:space="preserve">Lowe, C (2015) “Under Pressure: NHS Audiology Across the UK.” London, Action on Hearing Loss; </w:t>
      </w:r>
      <w:r w:rsidRPr="009541B6">
        <w:rPr>
          <w:rFonts w:cs="Arial"/>
          <w:sz w:val="18"/>
          <w:szCs w:val="18"/>
          <w:lang w:val="en-US"/>
        </w:rPr>
        <w:t>Monitor, 2015. NHS adult hearing services in England: exploring how choice is working for patients.</w:t>
      </w:r>
    </w:p>
    <w:p w14:paraId="15E1EA71" w14:textId="77777777" w:rsidR="00666026" w:rsidRPr="009541B6" w:rsidRDefault="00666026" w:rsidP="00666026">
      <w:pPr>
        <w:contextualSpacing/>
        <w:rPr>
          <w:rFonts w:cs="Arial"/>
          <w:sz w:val="18"/>
          <w:szCs w:val="18"/>
          <w:lang w:val="en-US"/>
        </w:rPr>
      </w:pPr>
      <w:r w:rsidRPr="009541B6">
        <w:rPr>
          <w:rFonts w:cs="Arial"/>
          <w:sz w:val="18"/>
          <w:szCs w:val="18"/>
          <w:lang w:val="en-US"/>
        </w:rPr>
        <w:br/>
        <w:t>Then see opposition in contex</w:t>
      </w:r>
      <w:r>
        <w:rPr>
          <w:rFonts w:cs="Arial"/>
          <w:sz w:val="18"/>
          <w:szCs w:val="18"/>
          <w:lang w:val="en-US"/>
        </w:rPr>
        <w:t>t</w:t>
      </w:r>
      <w:r w:rsidRPr="009541B6">
        <w:rPr>
          <w:rFonts w:cs="Arial"/>
          <w:sz w:val="18"/>
          <w:szCs w:val="18"/>
          <w:lang w:val="en-US"/>
        </w:rPr>
        <w:t xml:space="preserve"> by referring to: </w:t>
      </w:r>
    </w:p>
    <w:p w14:paraId="16EBA5F4" w14:textId="77777777" w:rsidR="00666026" w:rsidRDefault="00666026" w:rsidP="00666026">
      <w:pPr>
        <w:contextualSpacing/>
        <w:rPr>
          <w:rFonts w:cs="Arial"/>
          <w:sz w:val="18"/>
          <w:szCs w:val="18"/>
        </w:rPr>
      </w:pPr>
      <w:r w:rsidRPr="009541B6">
        <w:rPr>
          <w:rFonts w:cs="Arial"/>
          <w:sz w:val="18"/>
          <w:szCs w:val="18"/>
        </w:rPr>
        <w:t>Evidence Submiss</w:t>
      </w:r>
      <w:r>
        <w:rPr>
          <w:rFonts w:cs="Arial"/>
          <w:sz w:val="18"/>
          <w:szCs w:val="18"/>
        </w:rPr>
        <w:t>ion to Health Select Committee (various),</w:t>
      </w:r>
      <w:r w:rsidRPr="009541B6">
        <w:rPr>
          <w:rFonts w:cs="Arial"/>
          <w:sz w:val="18"/>
          <w:szCs w:val="18"/>
        </w:rPr>
        <w:t xml:space="preserve"> in Health Committee, House of Commons, 2007. Audiology Services. (HC 392, Fifth Report of Session 2006-7) – Report, together with formal minutes, oral and written evidence. London: The Stationary Office Limited; </w:t>
      </w:r>
      <w:r>
        <w:rPr>
          <w:rFonts w:cs="Arial"/>
          <w:sz w:val="18"/>
          <w:szCs w:val="18"/>
        </w:rPr>
        <w:t xml:space="preserve"> </w:t>
      </w:r>
      <w:r w:rsidRPr="009541B6">
        <w:rPr>
          <w:rFonts w:cs="Arial"/>
          <w:sz w:val="18"/>
          <w:szCs w:val="18"/>
        </w:rPr>
        <w:t xml:space="preserve">Ross, L. 2008. Modernizing times: UK hearing-impaired consumers at the policy crossroads.  International Journal of Consumer Studies, 32 (2), pp. 122-127; and AQP engagement blogs hosted by the Department of Health (AQP team) prior to 2012 implementation </w:t>
      </w:r>
    </w:p>
    <w:p w14:paraId="694A3E41" w14:textId="77777777" w:rsidR="00666026" w:rsidRPr="009541B6" w:rsidRDefault="00666026" w:rsidP="00666026">
      <w:pPr>
        <w:contextualSpacing/>
        <w:rPr>
          <w:rFonts w:cs="Arial"/>
          <w:sz w:val="18"/>
          <w:szCs w:val="18"/>
        </w:rPr>
      </w:pPr>
      <w:r w:rsidRPr="009541B6">
        <w:rPr>
          <w:rFonts w:cs="Arial"/>
          <w:sz w:val="18"/>
          <w:szCs w:val="18"/>
        </w:rPr>
        <w:t xml:space="preserve"> </w:t>
      </w:r>
    </w:p>
  </w:endnote>
  <w:endnote w:id="7">
    <w:p w14:paraId="604341CA" w14:textId="77777777" w:rsidR="00666026" w:rsidRPr="002912D4" w:rsidRDefault="00666026" w:rsidP="00666026">
      <w:pPr>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w:t>
      </w:r>
      <w:r w:rsidRPr="002912D4">
        <w:rPr>
          <w:rFonts w:cs="Arial"/>
          <w:sz w:val="18"/>
          <w:szCs w:val="18"/>
        </w:rPr>
        <w:t>E.g. In 1997, in a Department of Health sponsored study, heads of NHS audiology departments were surveyed</w:t>
      </w:r>
      <w:r>
        <w:rPr>
          <w:rFonts w:cs="Arial"/>
          <w:sz w:val="18"/>
          <w:szCs w:val="18"/>
        </w:rPr>
        <w:t xml:space="preserve"> about the benefits associated with delivering care closer to home</w:t>
      </w:r>
      <w:r w:rsidRPr="002912D4">
        <w:rPr>
          <w:rFonts w:cs="Arial"/>
          <w:sz w:val="18"/>
          <w:szCs w:val="18"/>
        </w:rPr>
        <w:t>. The response rate in England was 87%</w:t>
      </w:r>
      <w:r w:rsidRPr="002912D4">
        <w:rPr>
          <w:rStyle w:val="EndnoteReference"/>
          <w:rFonts w:cs="Arial"/>
          <w:sz w:val="18"/>
          <w:szCs w:val="18"/>
        </w:rPr>
        <w:endnoteRef/>
      </w:r>
      <w:r w:rsidRPr="002912D4">
        <w:rPr>
          <w:rFonts w:cs="Arial"/>
          <w:sz w:val="18"/>
          <w:szCs w:val="18"/>
        </w:rPr>
        <w:t>. The table below shows that, according to experts, care closer to home had considerable advantages for patients (Table 1); including improved access and the potential to improve hearing aid compliance.  It also shows there was strong agreement on the be</w:t>
      </w:r>
      <w:r>
        <w:rPr>
          <w:rFonts w:cs="Arial"/>
          <w:sz w:val="18"/>
          <w:szCs w:val="18"/>
        </w:rPr>
        <w:t xml:space="preserve">nefits of care closer to home. </w:t>
      </w:r>
      <w:r w:rsidRPr="002912D4">
        <w:rPr>
          <w:rFonts w:cs="Arial"/>
          <w:sz w:val="18"/>
          <w:szCs w:val="18"/>
        </w:rPr>
        <w:t xml:space="preserve"> </w:t>
      </w:r>
      <w:r>
        <w:rPr>
          <w:rFonts w:cs="Arial"/>
          <w:sz w:val="18"/>
          <w:szCs w:val="18"/>
        </w:rPr>
        <w:t>D</w:t>
      </w:r>
      <w:r w:rsidRPr="002912D4">
        <w:rPr>
          <w:rFonts w:cs="Arial"/>
          <w:sz w:val="18"/>
          <w:szCs w:val="18"/>
        </w:rPr>
        <w:t xml:space="preserve">espite </w:t>
      </w:r>
      <w:r>
        <w:rPr>
          <w:rFonts w:cs="Arial"/>
          <w:sz w:val="18"/>
          <w:szCs w:val="18"/>
        </w:rPr>
        <w:t xml:space="preserve">this, and the fact there was </w:t>
      </w:r>
      <w:r w:rsidRPr="002912D4">
        <w:rPr>
          <w:rFonts w:cs="Arial"/>
          <w:sz w:val="18"/>
          <w:szCs w:val="18"/>
        </w:rPr>
        <w:t xml:space="preserve">no evidence of hospitals attempting to deliver more diagnostic services for adult hearing loss outside of hospital, there </w:t>
      </w:r>
      <w:r>
        <w:rPr>
          <w:rFonts w:cs="Arial"/>
          <w:sz w:val="18"/>
          <w:szCs w:val="18"/>
        </w:rPr>
        <w:t xml:space="preserve">has been </w:t>
      </w:r>
      <w:r w:rsidRPr="002912D4">
        <w:rPr>
          <w:rFonts w:cs="Arial"/>
          <w:sz w:val="18"/>
          <w:szCs w:val="18"/>
        </w:rPr>
        <w:t xml:space="preserve">opposition to community hearing care providers delivering this non-medical service </w:t>
      </w:r>
      <w:r>
        <w:rPr>
          <w:rFonts w:cs="Arial"/>
          <w:sz w:val="18"/>
          <w:szCs w:val="18"/>
        </w:rPr>
        <w:t>outside of hospital in the last seven years.</w:t>
      </w:r>
    </w:p>
    <w:p w14:paraId="0F3FDE18" w14:textId="77777777" w:rsidR="00666026" w:rsidRPr="009541B6" w:rsidRDefault="00666026" w:rsidP="00666026">
      <w:pPr>
        <w:pStyle w:val="EndnoteText"/>
        <w:contextualSpacing/>
        <w:rPr>
          <w:rFonts w:cs="Arial"/>
          <w:sz w:val="18"/>
          <w:szCs w:val="18"/>
          <w:lang w:val="en-US"/>
        </w:rPr>
      </w:pPr>
    </w:p>
    <w:p w14:paraId="2037EDED" w14:textId="77777777" w:rsidR="00666026" w:rsidRPr="00643B04" w:rsidRDefault="00666026" w:rsidP="00666026">
      <w:pPr>
        <w:pStyle w:val="ListParagraph"/>
        <w:spacing w:after="0"/>
        <w:ind w:left="142"/>
        <w:rPr>
          <w:rFonts w:ascii="Arial" w:hAnsi="Arial" w:cs="Arial"/>
          <w:sz w:val="18"/>
          <w:szCs w:val="18"/>
        </w:rPr>
      </w:pPr>
      <w:r w:rsidRPr="009541B6">
        <w:rPr>
          <w:rFonts w:ascii="Arial" w:hAnsi="Arial" w:cs="Arial"/>
          <w:b/>
          <w:noProof/>
          <w:color w:val="0070C0"/>
          <w:sz w:val="18"/>
          <w:szCs w:val="18"/>
          <w:lang w:eastAsia="en-GB"/>
        </w:rPr>
        <w:drawing>
          <wp:inline distT="0" distB="0" distL="0" distR="0" wp14:anchorId="099988F3" wp14:editId="62277FFB">
            <wp:extent cx="5964910" cy="272034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annex-e-smaller.png"/>
                    <pic:cNvPicPr/>
                  </pic:nvPicPr>
                  <pic:blipFill>
                    <a:blip r:embed="rId3">
                      <a:extLst>
                        <a:ext uri="{28A0092B-C50C-407E-A947-70E740481C1C}">
                          <a14:useLocalDpi xmlns:a14="http://schemas.microsoft.com/office/drawing/2010/main" val="0"/>
                        </a:ext>
                      </a:extLst>
                    </a:blip>
                    <a:stretch>
                      <a:fillRect/>
                    </a:stretch>
                  </pic:blipFill>
                  <pic:spPr>
                    <a:xfrm>
                      <a:off x="0" y="0"/>
                      <a:ext cx="6034759" cy="2752195"/>
                    </a:xfrm>
                    <a:prstGeom prst="rect">
                      <a:avLst/>
                    </a:prstGeom>
                  </pic:spPr>
                </pic:pic>
              </a:graphicData>
            </a:graphic>
          </wp:inline>
        </w:drawing>
      </w:r>
      <w:r w:rsidRPr="00643B04">
        <w:rPr>
          <w:rFonts w:ascii="Arial" w:hAnsi="Arial" w:cs="Arial"/>
          <w:b/>
          <w:sz w:val="18"/>
          <w:szCs w:val="18"/>
        </w:rPr>
        <w:t>Table 1:</w:t>
      </w:r>
      <w:r w:rsidRPr="00643B04">
        <w:rPr>
          <w:rFonts w:ascii="Arial" w:hAnsi="Arial" w:cs="Arial"/>
          <w:sz w:val="18"/>
          <w:szCs w:val="18"/>
        </w:rPr>
        <w:t xml:space="preserve"> Head of audiologists’ view on the advantage of outreach work in 1997 (i.e. care closer to home (source: </w:t>
      </w:r>
      <w:hyperlink r:id="rId4" w:history="1">
        <w:r w:rsidRPr="00643B04">
          <w:rPr>
            <w:rStyle w:val="Hyperlink"/>
            <w:rFonts w:ascii="Arial" w:hAnsi="Arial" w:cs="Arial"/>
            <w:color w:val="auto"/>
            <w:sz w:val="18"/>
            <w:szCs w:val="18"/>
          </w:rPr>
          <w:t>Reeves et al., 2000</w:t>
        </w:r>
      </w:hyperlink>
      <w:r w:rsidRPr="00643B04">
        <w:rPr>
          <w:rFonts w:ascii="Arial" w:hAnsi="Arial" w:cs="Arial"/>
          <w:sz w:val="18"/>
          <w:szCs w:val="18"/>
        </w:rPr>
        <w:t>)</w:t>
      </w:r>
    </w:p>
    <w:p w14:paraId="1CAF6136" w14:textId="77777777" w:rsidR="00666026" w:rsidRPr="009541B6" w:rsidRDefault="00666026" w:rsidP="00666026">
      <w:pPr>
        <w:pStyle w:val="EndnoteText"/>
        <w:contextualSpacing/>
        <w:rPr>
          <w:rFonts w:cs="Arial"/>
          <w:sz w:val="18"/>
          <w:szCs w:val="18"/>
          <w:lang w:val="en-US"/>
        </w:rPr>
      </w:pPr>
    </w:p>
  </w:endnote>
  <w:endnote w:id="8">
    <w:p w14:paraId="0F310C5E" w14:textId="77777777" w:rsidR="00666026" w:rsidRDefault="00666026" w:rsidP="00666026">
      <w:pPr>
        <w:contextualSpacing/>
        <w:rPr>
          <w:rFonts w:cs="Arial"/>
          <w:color w:val="262626"/>
          <w:sz w:val="18"/>
          <w:szCs w:val="18"/>
        </w:rPr>
      </w:pPr>
      <w:r w:rsidRPr="009541B6">
        <w:rPr>
          <w:rStyle w:val="EndnoteReference"/>
          <w:rFonts w:cs="Arial"/>
          <w:sz w:val="18"/>
          <w:szCs w:val="18"/>
        </w:rPr>
        <w:endnoteRef/>
      </w:r>
      <w:r w:rsidRPr="009541B6">
        <w:rPr>
          <w:rFonts w:cs="Arial"/>
          <w:sz w:val="18"/>
          <w:szCs w:val="18"/>
        </w:rPr>
        <w:t xml:space="preserve"> Davis, A. and Smith, P., 2013. Adult Hearing Screening: Health Policy Issues – What Happens Next? </w:t>
      </w:r>
      <w:r w:rsidRPr="009541B6">
        <w:rPr>
          <w:rFonts w:cs="Arial"/>
          <w:color w:val="262626"/>
          <w:sz w:val="18"/>
          <w:szCs w:val="18"/>
        </w:rPr>
        <w:t xml:space="preserve">American Journal of Audiology, 22(1), pp. 167-170.  Note: Davis and Smith update estimates from previous research but do not provide their methodology. Their earlier research took place before digital hearing aids were introduced into the NHS. Since then more people have been fitted and therefore Davis and Smith’s estimate of 3.8 million might slightly over estimate unmet need.  </w:t>
      </w:r>
    </w:p>
    <w:p w14:paraId="67B42B04" w14:textId="77777777" w:rsidR="00666026" w:rsidRPr="009541B6" w:rsidRDefault="00666026" w:rsidP="00666026">
      <w:pPr>
        <w:contextualSpacing/>
        <w:rPr>
          <w:rFonts w:cs="Arial"/>
          <w:color w:val="262626"/>
          <w:sz w:val="18"/>
          <w:szCs w:val="18"/>
        </w:rPr>
      </w:pPr>
    </w:p>
  </w:endnote>
  <w:endnote w:id="9">
    <w:p w14:paraId="05E3337D" w14:textId="77777777" w:rsidR="00666026" w:rsidRPr="009541B6" w:rsidRDefault="00666026" w:rsidP="00666026">
      <w:pPr>
        <w:spacing w:line="276" w:lineRule="auto"/>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NB. Monitor notes “the introduction of choice has also made services more transparent” and that “the introduction of choice has strengthened the opportunity for [CCGs] to achieve better value for money. In areas with choice, commissioners have often put in place more robust or higher service specifications that raise expectations of providers. In some cases, commissioners have also established locally determined prices that are 20−25% lower than the national non-mandated tariff” (</w:t>
      </w:r>
      <w:hyperlink r:id="rId5" w:anchor="page=6" w:history="1">
        <w:r w:rsidRPr="009541B6">
          <w:rPr>
            <w:rStyle w:val="Hyperlink"/>
            <w:rFonts w:cs="Arial"/>
            <w:sz w:val="18"/>
            <w:szCs w:val="18"/>
          </w:rPr>
          <w:t>Monitor, 2015</w:t>
        </w:r>
      </w:hyperlink>
      <w:r w:rsidRPr="009541B6">
        <w:rPr>
          <w:rFonts w:cs="Arial"/>
          <w:sz w:val="18"/>
          <w:szCs w:val="18"/>
        </w:rPr>
        <w:t xml:space="preserve">). </w:t>
      </w:r>
    </w:p>
    <w:p w14:paraId="783AFFA0" w14:textId="77777777" w:rsidR="00666026" w:rsidRPr="009541B6" w:rsidRDefault="00666026" w:rsidP="00666026">
      <w:pPr>
        <w:spacing w:line="276" w:lineRule="auto"/>
        <w:contextualSpacing/>
        <w:rPr>
          <w:rFonts w:cs="Arial"/>
          <w:sz w:val="18"/>
          <w:szCs w:val="18"/>
        </w:rPr>
      </w:pPr>
      <w:r w:rsidRPr="009541B6">
        <w:rPr>
          <w:rFonts w:cs="Arial"/>
          <w:sz w:val="18"/>
          <w:szCs w:val="18"/>
        </w:rPr>
        <w:t xml:space="preserve">This is because: </w:t>
      </w:r>
    </w:p>
    <w:p w14:paraId="0A6D8654" w14:textId="77777777" w:rsidR="00666026" w:rsidRPr="009541B6" w:rsidRDefault="00666026" w:rsidP="00666026">
      <w:pPr>
        <w:spacing w:line="276" w:lineRule="auto"/>
        <w:contextualSpacing/>
        <w:rPr>
          <w:rFonts w:cs="Arial"/>
          <w:sz w:val="18"/>
          <w:szCs w:val="18"/>
        </w:rPr>
      </w:pPr>
      <w:r w:rsidRPr="009541B6">
        <w:rPr>
          <w:rFonts w:cs="Arial"/>
          <w:sz w:val="18"/>
          <w:szCs w:val="18"/>
        </w:rPr>
        <w:t xml:space="preserve">The original structure of the non-mandated tariff for adult hearing services was noted in the Department of Health’s “Payment by Results Guidance 2009-10” – (available </w:t>
      </w:r>
      <w:hyperlink r:id="rId6" w:anchor="page=44" w:history="1">
        <w:r w:rsidRPr="009541B6">
          <w:rPr>
            <w:rStyle w:val="Hyperlink"/>
            <w:rFonts w:cs="Arial"/>
            <w:sz w:val="18"/>
            <w:szCs w:val="18"/>
          </w:rPr>
          <w:t>here</w:t>
        </w:r>
      </w:hyperlink>
      <w:r w:rsidRPr="009541B6">
        <w:rPr>
          <w:rStyle w:val="Hyperlink"/>
          <w:rFonts w:cs="Arial"/>
          <w:sz w:val="18"/>
          <w:szCs w:val="18"/>
        </w:rPr>
        <w:t>)</w:t>
      </w:r>
      <w:r w:rsidRPr="009541B6">
        <w:rPr>
          <w:rFonts w:cs="Arial"/>
          <w:sz w:val="18"/>
          <w:szCs w:val="18"/>
        </w:rPr>
        <w:t xml:space="preserve"> </w:t>
      </w:r>
    </w:p>
    <w:p w14:paraId="26C6F8E4" w14:textId="77777777" w:rsidR="00666026" w:rsidRPr="009541B6" w:rsidRDefault="00666026" w:rsidP="00666026">
      <w:pPr>
        <w:pStyle w:val="ListParagraph"/>
        <w:spacing w:after="0"/>
        <w:ind w:left="426"/>
        <w:rPr>
          <w:rFonts w:ascii="Arial" w:hAnsi="Arial" w:cs="Arial"/>
          <w:sz w:val="18"/>
          <w:szCs w:val="18"/>
        </w:rPr>
      </w:pPr>
    </w:p>
    <w:p w14:paraId="3A471B65" w14:textId="77777777" w:rsidR="00666026" w:rsidRPr="009541B6" w:rsidRDefault="00666026" w:rsidP="00666026">
      <w:pPr>
        <w:numPr>
          <w:ilvl w:val="0"/>
          <w:numId w:val="8"/>
        </w:numPr>
        <w:spacing w:line="276" w:lineRule="auto"/>
        <w:ind w:left="709" w:hanging="426"/>
        <w:contextualSpacing/>
        <w:rPr>
          <w:rFonts w:cs="Arial"/>
          <w:sz w:val="18"/>
          <w:szCs w:val="18"/>
        </w:rPr>
      </w:pPr>
      <w:r w:rsidRPr="009541B6">
        <w:rPr>
          <w:rFonts w:cs="Arial"/>
          <w:sz w:val="18"/>
          <w:szCs w:val="18"/>
        </w:rPr>
        <w:t xml:space="preserve">the tariff included one follow-up and commissioners then paid for each additional aftercare </w:t>
      </w:r>
    </w:p>
    <w:p w14:paraId="54F2BFFE" w14:textId="77777777" w:rsidR="00666026" w:rsidRPr="009541B6" w:rsidRDefault="00666026" w:rsidP="00666026">
      <w:pPr>
        <w:numPr>
          <w:ilvl w:val="0"/>
          <w:numId w:val="8"/>
        </w:numPr>
        <w:spacing w:line="276" w:lineRule="auto"/>
        <w:ind w:left="709" w:hanging="426"/>
        <w:contextualSpacing/>
        <w:rPr>
          <w:rFonts w:cs="Arial"/>
          <w:sz w:val="18"/>
          <w:szCs w:val="18"/>
        </w:rPr>
      </w:pPr>
      <w:r w:rsidRPr="009541B6">
        <w:rPr>
          <w:rFonts w:cs="Arial"/>
          <w:sz w:val="18"/>
          <w:szCs w:val="18"/>
        </w:rPr>
        <w:t>it did not include any service specification or standards</w:t>
      </w:r>
    </w:p>
    <w:p w14:paraId="7FBC45FE" w14:textId="77777777" w:rsidR="00666026" w:rsidRPr="009541B6" w:rsidRDefault="00666026" w:rsidP="00666026">
      <w:pPr>
        <w:ind w:left="709"/>
        <w:contextualSpacing/>
        <w:rPr>
          <w:rFonts w:cs="Arial"/>
          <w:sz w:val="18"/>
          <w:szCs w:val="18"/>
        </w:rPr>
      </w:pPr>
    </w:p>
    <w:p w14:paraId="74D60F7D" w14:textId="77777777" w:rsidR="00666026" w:rsidRPr="009541B6" w:rsidRDefault="00666026" w:rsidP="00666026">
      <w:pPr>
        <w:spacing w:line="276" w:lineRule="auto"/>
        <w:contextualSpacing/>
        <w:rPr>
          <w:rFonts w:cs="Arial"/>
          <w:sz w:val="18"/>
          <w:szCs w:val="18"/>
        </w:rPr>
      </w:pPr>
      <w:r w:rsidRPr="009541B6">
        <w:rPr>
          <w:rFonts w:cs="Arial"/>
          <w:sz w:val="18"/>
          <w:szCs w:val="18"/>
        </w:rPr>
        <w:t>This can be compared to the specification and prices in the Department of Health’s Best Practice Guidance (BPG) published on 20</w:t>
      </w:r>
      <w:r w:rsidRPr="009541B6">
        <w:rPr>
          <w:rFonts w:cs="Arial"/>
          <w:sz w:val="18"/>
          <w:szCs w:val="18"/>
          <w:vertAlign w:val="superscript"/>
        </w:rPr>
        <w:t>th</w:t>
      </w:r>
      <w:r w:rsidRPr="009541B6">
        <w:rPr>
          <w:rFonts w:cs="Arial"/>
          <w:sz w:val="18"/>
          <w:szCs w:val="18"/>
        </w:rPr>
        <w:t xml:space="preserve"> December 2012 (available </w:t>
      </w:r>
      <w:hyperlink r:id="rId7" w:anchor="page=2" w:history="1">
        <w:r w:rsidRPr="009541B6">
          <w:rPr>
            <w:rStyle w:val="Hyperlink"/>
            <w:rFonts w:cs="Arial"/>
            <w:sz w:val="18"/>
            <w:szCs w:val="18"/>
          </w:rPr>
          <w:t>here</w:t>
        </w:r>
      </w:hyperlink>
      <w:r w:rsidRPr="009541B6">
        <w:rPr>
          <w:rStyle w:val="Hyperlink"/>
          <w:rFonts w:cs="Arial"/>
          <w:sz w:val="18"/>
          <w:szCs w:val="18"/>
        </w:rPr>
        <w:t>)</w:t>
      </w:r>
      <w:r w:rsidRPr="009541B6">
        <w:rPr>
          <w:rFonts w:cs="Arial"/>
          <w:sz w:val="18"/>
          <w:szCs w:val="18"/>
        </w:rPr>
        <w:t>. BPG includes:</w:t>
      </w:r>
    </w:p>
    <w:p w14:paraId="531D361B" w14:textId="77777777" w:rsidR="00666026" w:rsidRPr="009541B6" w:rsidRDefault="00666026" w:rsidP="00666026">
      <w:pPr>
        <w:ind w:left="426"/>
        <w:contextualSpacing/>
        <w:rPr>
          <w:rFonts w:cs="Arial"/>
          <w:sz w:val="18"/>
          <w:szCs w:val="18"/>
        </w:rPr>
      </w:pPr>
    </w:p>
    <w:p w14:paraId="22B181DA" w14:textId="77777777" w:rsidR="00666026" w:rsidRPr="009541B6" w:rsidRDefault="00666026" w:rsidP="00666026">
      <w:pPr>
        <w:numPr>
          <w:ilvl w:val="0"/>
          <w:numId w:val="9"/>
        </w:numPr>
        <w:spacing w:line="276" w:lineRule="auto"/>
        <w:ind w:left="709" w:hanging="426"/>
        <w:contextualSpacing/>
        <w:rPr>
          <w:rFonts w:cs="Arial"/>
          <w:sz w:val="18"/>
          <w:szCs w:val="18"/>
        </w:rPr>
      </w:pPr>
      <w:r w:rsidRPr="009541B6">
        <w:rPr>
          <w:rFonts w:cs="Arial"/>
          <w:sz w:val="18"/>
          <w:szCs w:val="18"/>
        </w:rPr>
        <w:t xml:space="preserve">clear standards – expectations, targets, accountability  (available </w:t>
      </w:r>
      <w:hyperlink r:id="rId8" w:anchor="page=7" w:history="1">
        <w:r w:rsidRPr="009541B6">
          <w:rPr>
            <w:rStyle w:val="Hyperlink"/>
            <w:rFonts w:cs="Arial"/>
            <w:sz w:val="18"/>
            <w:szCs w:val="18"/>
          </w:rPr>
          <w:t>here</w:t>
        </w:r>
      </w:hyperlink>
      <w:r w:rsidRPr="009541B6">
        <w:rPr>
          <w:rFonts w:cs="Arial"/>
          <w:sz w:val="18"/>
          <w:szCs w:val="18"/>
        </w:rPr>
        <w:t>)</w:t>
      </w:r>
    </w:p>
    <w:p w14:paraId="0ECF4C15" w14:textId="77777777" w:rsidR="00666026" w:rsidRPr="009541B6" w:rsidRDefault="00666026" w:rsidP="00666026">
      <w:pPr>
        <w:numPr>
          <w:ilvl w:val="0"/>
          <w:numId w:val="9"/>
        </w:numPr>
        <w:spacing w:line="276" w:lineRule="auto"/>
        <w:ind w:left="709" w:hanging="426"/>
        <w:contextualSpacing/>
        <w:rPr>
          <w:rFonts w:cs="Arial"/>
          <w:sz w:val="18"/>
          <w:szCs w:val="18"/>
        </w:rPr>
      </w:pPr>
      <w:r w:rsidRPr="009541B6">
        <w:rPr>
          <w:rFonts w:cs="Arial"/>
          <w:sz w:val="18"/>
          <w:szCs w:val="18"/>
        </w:rPr>
        <w:t xml:space="preserve">clearly defined prices (available </w:t>
      </w:r>
      <w:hyperlink r:id="rId9" w:anchor="page=39" w:history="1">
        <w:r w:rsidRPr="009541B6">
          <w:rPr>
            <w:rStyle w:val="Hyperlink"/>
            <w:rFonts w:cs="Arial"/>
            <w:sz w:val="18"/>
            <w:szCs w:val="18"/>
          </w:rPr>
          <w:t>here</w:t>
        </w:r>
      </w:hyperlink>
      <w:r w:rsidRPr="009541B6">
        <w:rPr>
          <w:rFonts w:cs="Arial"/>
          <w:sz w:val="18"/>
          <w:szCs w:val="18"/>
        </w:rPr>
        <w:t>)</w:t>
      </w:r>
    </w:p>
    <w:p w14:paraId="41A68AD6" w14:textId="77777777" w:rsidR="00666026" w:rsidRPr="009541B6" w:rsidRDefault="00666026" w:rsidP="00666026">
      <w:pPr>
        <w:ind w:left="709"/>
        <w:contextualSpacing/>
        <w:rPr>
          <w:rFonts w:cs="Arial"/>
          <w:sz w:val="18"/>
          <w:szCs w:val="18"/>
        </w:rPr>
      </w:pPr>
    </w:p>
    <w:p w14:paraId="2D28F8FA" w14:textId="77777777" w:rsidR="00666026" w:rsidRPr="009541B6" w:rsidRDefault="00666026" w:rsidP="00666026">
      <w:pPr>
        <w:spacing w:line="276" w:lineRule="auto"/>
        <w:contextualSpacing/>
        <w:rPr>
          <w:rFonts w:cs="Arial"/>
          <w:sz w:val="18"/>
          <w:szCs w:val="18"/>
        </w:rPr>
      </w:pPr>
      <w:r w:rsidRPr="009541B6">
        <w:rPr>
          <w:rFonts w:cs="Arial"/>
          <w:sz w:val="18"/>
          <w:szCs w:val="18"/>
        </w:rPr>
        <w:t xml:space="preserve">BPG  shows that prices were reduced by 10% compared to the non-mandated tariff (page 40 - available </w:t>
      </w:r>
      <w:hyperlink r:id="rId10" w:anchor="page=40" w:history="1">
        <w:r w:rsidRPr="009541B6">
          <w:rPr>
            <w:rStyle w:val="Hyperlink"/>
            <w:rFonts w:cs="Arial"/>
            <w:sz w:val="18"/>
            <w:szCs w:val="18"/>
          </w:rPr>
          <w:t>here</w:t>
        </w:r>
      </w:hyperlink>
      <w:r w:rsidRPr="009541B6">
        <w:rPr>
          <w:rFonts w:cs="Arial"/>
          <w:sz w:val="18"/>
          <w:szCs w:val="18"/>
        </w:rPr>
        <w:t>)</w:t>
      </w:r>
    </w:p>
    <w:p w14:paraId="17E4625E" w14:textId="77777777" w:rsidR="00666026" w:rsidRPr="009541B6" w:rsidRDefault="00666026" w:rsidP="00666026">
      <w:pPr>
        <w:ind w:left="426"/>
        <w:contextualSpacing/>
        <w:rPr>
          <w:rFonts w:cs="Arial"/>
          <w:sz w:val="18"/>
          <w:szCs w:val="18"/>
        </w:rPr>
      </w:pPr>
    </w:p>
    <w:p w14:paraId="2F9E77EE" w14:textId="77777777" w:rsidR="00666026" w:rsidRPr="009541B6" w:rsidRDefault="00666026" w:rsidP="00666026">
      <w:pPr>
        <w:contextualSpacing/>
        <w:rPr>
          <w:rFonts w:cs="Arial"/>
          <w:sz w:val="18"/>
          <w:szCs w:val="18"/>
        </w:rPr>
      </w:pPr>
      <w:r w:rsidRPr="009541B6">
        <w:rPr>
          <w:rFonts w:cs="Arial"/>
          <w:sz w:val="18"/>
          <w:szCs w:val="18"/>
        </w:rPr>
        <w:t xml:space="preserve">In addition to this 10% reduction there were other savings. For example all aftercare visits were included in the package of care. It is estimated that CCGs would save between 20% and 25% by using the BPG compared to the non-mandated tariff system. In some areas CCGs have also not adjusted local prices for MFF and therefore made savings in excess of 25% per patient (i.e. in some cases 10x the efficiency savings required in the Five Year Forward View). The new service specifications also set KPIs which mean providers are assessed on outcomes rather than activity – reducing the incentives to diagnose hearing loss but then fit and forget in order to meet referral to treatment targets. We believe such a model creates </w:t>
      </w:r>
      <w:r>
        <w:rPr>
          <w:rFonts w:cs="Arial"/>
          <w:sz w:val="18"/>
          <w:szCs w:val="18"/>
        </w:rPr>
        <w:t>positive</w:t>
      </w:r>
      <w:r w:rsidRPr="009541B6">
        <w:rPr>
          <w:rFonts w:cs="Arial"/>
          <w:sz w:val="18"/>
          <w:szCs w:val="18"/>
        </w:rPr>
        <w:t xml:space="preserve"> incentives to diagnose and then m</w:t>
      </w:r>
      <w:r>
        <w:rPr>
          <w:rFonts w:cs="Arial"/>
          <w:sz w:val="18"/>
          <w:szCs w:val="18"/>
        </w:rPr>
        <w:t>anage patients in the long-term</w:t>
      </w:r>
      <w:r w:rsidRPr="009541B6">
        <w:rPr>
          <w:rFonts w:cs="Arial"/>
          <w:sz w:val="18"/>
          <w:szCs w:val="18"/>
        </w:rPr>
        <w:t xml:space="preserve"> and </w:t>
      </w:r>
      <w:r>
        <w:rPr>
          <w:rFonts w:cs="Arial"/>
          <w:sz w:val="18"/>
          <w:szCs w:val="18"/>
        </w:rPr>
        <w:t xml:space="preserve">that </w:t>
      </w:r>
      <w:r w:rsidRPr="009541B6">
        <w:rPr>
          <w:rFonts w:cs="Arial"/>
          <w:sz w:val="18"/>
          <w:szCs w:val="18"/>
        </w:rPr>
        <w:t xml:space="preserve">because of this, other things being equal, the BPG is likely to be more cost-effective (in that it would dominate </w:t>
      </w:r>
      <w:r>
        <w:rPr>
          <w:rFonts w:cs="Arial"/>
          <w:sz w:val="18"/>
          <w:szCs w:val="18"/>
        </w:rPr>
        <w:t>the non-mandated tariff model in a</w:t>
      </w:r>
      <w:r w:rsidRPr="009541B6">
        <w:rPr>
          <w:rFonts w:cs="Arial"/>
          <w:sz w:val="18"/>
          <w:szCs w:val="18"/>
        </w:rPr>
        <w:t xml:space="preserve">ny cost-effective analysis because by </w:t>
      </w:r>
      <w:r>
        <w:rPr>
          <w:rFonts w:cs="Arial"/>
          <w:sz w:val="18"/>
          <w:szCs w:val="18"/>
        </w:rPr>
        <w:t xml:space="preserve">any </w:t>
      </w:r>
      <w:r w:rsidRPr="009541B6">
        <w:rPr>
          <w:rFonts w:cs="Arial"/>
          <w:sz w:val="18"/>
          <w:szCs w:val="18"/>
        </w:rPr>
        <w:t xml:space="preserve">definition the NHS is getting more for less). Patients are also not travelling as far to access care in areas </w:t>
      </w:r>
      <w:r>
        <w:rPr>
          <w:rFonts w:cs="Arial"/>
          <w:sz w:val="18"/>
          <w:szCs w:val="18"/>
        </w:rPr>
        <w:t>where community diagnostics are</w:t>
      </w:r>
      <w:r w:rsidRPr="009541B6">
        <w:rPr>
          <w:rFonts w:cs="Arial"/>
          <w:sz w:val="18"/>
          <w:szCs w:val="18"/>
        </w:rPr>
        <w:t xml:space="preserve"> accessible and therefore the societal cost of out of hospital audiology is also likely to be favourable in any cost-effectiveness model</w:t>
      </w:r>
      <w:r>
        <w:rPr>
          <w:rFonts w:cs="Arial"/>
          <w:sz w:val="18"/>
          <w:szCs w:val="18"/>
        </w:rPr>
        <w:t xml:space="preserve"> that captures service user costs</w:t>
      </w:r>
      <w:r w:rsidRPr="009541B6">
        <w:rPr>
          <w:rFonts w:cs="Arial"/>
          <w:sz w:val="18"/>
          <w:szCs w:val="18"/>
        </w:rPr>
        <w:t xml:space="preserve">. </w:t>
      </w:r>
    </w:p>
    <w:p w14:paraId="6D6BBFBF" w14:textId="77777777" w:rsidR="00666026" w:rsidRPr="009541B6" w:rsidRDefault="00666026" w:rsidP="00666026">
      <w:pPr>
        <w:pStyle w:val="EndnoteText"/>
        <w:contextualSpacing/>
        <w:rPr>
          <w:rFonts w:cs="Arial"/>
          <w:sz w:val="18"/>
          <w:szCs w:val="18"/>
        </w:rPr>
      </w:pPr>
    </w:p>
  </w:endnote>
  <w:endnote w:id="10">
    <w:p w14:paraId="59A7FDDE" w14:textId="77777777" w:rsidR="00666026" w:rsidRPr="009541B6" w:rsidRDefault="00666026" w:rsidP="00666026">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Swan, I.R.C. and Browning, G.G. 1994. A prospective evaluation of direct referral to audiology departments for hearing aids. The Journal of Laryngology and Otology, 108(2), pp. 120-124; </w:t>
      </w:r>
      <w:r w:rsidRPr="009541B6">
        <w:rPr>
          <w:rFonts w:cs="Arial"/>
          <w:color w:val="262626"/>
          <w:sz w:val="18"/>
          <w:szCs w:val="18"/>
        </w:rPr>
        <w:t xml:space="preserve">Reeves, D.J. et al., 2000, Community provision of hearing aids and related audiology services, Health technology assessment (Winchester, England), vol. 4, no. 4; </w:t>
      </w:r>
      <w:r w:rsidRPr="009541B6">
        <w:rPr>
          <w:rFonts w:cs="Arial"/>
          <w:sz w:val="18"/>
          <w:szCs w:val="18"/>
        </w:rPr>
        <w:t xml:space="preserve">Abdelkader, M. et al. 2003. Prospective evaluation of the value of direct referral hearing aid clinic in management of young patients with bilateral hearing loss. </w:t>
      </w:r>
      <w:r w:rsidRPr="009541B6">
        <w:rPr>
          <w:rFonts w:cs="Arial"/>
          <w:color w:val="262626"/>
          <w:sz w:val="18"/>
          <w:szCs w:val="18"/>
        </w:rPr>
        <w:t xml:space="preserve">Clinical Otolaryngology &amp; Allied Sciences, 29(3), pp. 206-209; </w:t>
      </w:r>
      <w:r w:rsidRPr="009541B6">
        <w:rPr>
          <w:rFonts w:cs="Arial"/>
          <w:sz w:val="18"/>
          <w:szCs w:val="18"/>
        </w:rPr>
        <w:t xml:space="preserve">Health Committee, House of Commons, 2007. Audiology Services. (HC 392, Fifth Report of Session 2006-7) – Report, together with formal minutes, oral and written evidence. London: The Stationary Office Limited; Eley, K. A. and FitzGerald, J. E. 2010. Quality improvement in action: Direct general practitioner referrals to audiology for the provision of hearing aids: a single centre review. Quality in Primary Care, 18(3), pp. 201-206; Zapala, D. A. et al 2010. Safety of Audiology Direct Access for Medicare Patients Complaining in Impaired Hearing. </w:t>
      </w:r>
      <w:r w:rsidRPr="009541B6">
        <w:rPr>
          <w:rFonts w:cs="Arial"/>
          <w:color w:val="262626"/>
          <w:sz w:val="18"/>
          <w:szCs w:val="18"/>
        </w:rPr>
        <w:t>Journal of the American Academy of Audiology, 21(6), pp. 365-379.</w:t>
      </w:r>
    </w:p>
    <w:p w14:paraId="1CC314AD" w14:textId="77777777" w:rsidR="00666026" w:rsidRPr="009541B6" w:rsidRDefault="00666026" w:rsidP="00666026">
      <w:pPr>
        <w:pStyle w:val="EndnoteText"/>
        <w:contextualSpacing/>
        <w:rPr>
          <w:rFonts w:cs="Arial"/>
          <w:sz w:val="18"/>
          <w:szCs w:val="18"/>
        </w:rPr>
      </w:pPr>
    </w:p>
  </w:endnote>
  <w:endnote w:id="11">
    <w:p w14:paraId="02FD0153" w14:textId="77777777" w:rsidR="00666026" w:rsidRPr="009541B6" w:rsidRDefault="00666026" w:rsidP="00666026">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SEE:</w:t>
      </w:r>
      <w:r w:rsidRPr="009541B6">
        <w:rPr>
          <w:rFonts w:cs="Arial"/>
          <w:sz w:val="18"/>
          <w:szCs w:val="18"/>
          <w:lang w:val="en-US"/>
        </w:rPr>
        <w:t xml:space="preserve"> Monitor, 2015. NHS adult hearing services in England: exploring how choice is working for patients and reference cost data provided above. In comparison 88,000 hearing assessments were done in primary care settings in the same year (NCHA dataset). See footnotes above for evidence of barriers to shifting services outside of hospital.</w:t>
      </w:r>
    </w:p>
    <w:p w14:paraId="3F2883C7" w14:textId="77777777" w:rsidR="00666026" w:rsidRPr="009541B6" w:rsidRDefault="00666026" w:rsidP="00666026">
      <w:pPr>
        <w:pStyle w:val="EndnoteText"/>
        <w:contextualSpacing/>
        <w:rPr>
          <w:rFonts w:cs="Arial"/>
          <w:sz w:val="18"/>
          <w:szCs w:val="18"/>
        </w:rPr>
      </w:pPr>
    </w:p>
  </w:endnote>
  <w:endnote w:id="12">
    <w:p w14:paraId="10542CBC" w14:textId="77777777" w:rsidR="00666026" w:rsidRPr="009541B6" w:rsidRDefault="00666026" w:rsidP="00666026">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Right Care (2013) Atlas of Variation, Map 23 (page 102) and Map 24 (page 104)</w:t>
      </w:r>
    </w:p>
    <w:p w14:paraId="0844DEB3" w14:textId="77777777" w:rsidR="00666026" w:rsidRPr="009541B6" w:rsidRDefault="00666026" w:rsidP="00666026">
      <w:pPr>
        <w:pStyle w:val="EndnoteText"/>
        <w:contextualSpacing/>
        <w:rPr>
          <w:rFonts w:cs="Arial"/>
          <w:sz w:val="18"/>
          <w:szCs w:val="18"/>
        </w:rPr>
      </w:pPr>
    </w:p>
  </w:endnote>
  <w:endnote w:id="13">
    <w:p w14:paraId="5520278F" w14:textId="77777777" w:rsidR="00666026" w:rsidRPr="009541B6" w:rsidRDefault="00666026" w:rsidP="00666026">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w:t>
      </w:r>
    </w:p>
    <w:p w14:paraId="4D9A6B12" w14:textId="77777777" w:rsidR="00666026" w:rsidRPr="009541B6" w:rsidRDefault="00666026" w:rsidP="00666026">
      <w:pPr>
        <w:pStyle w:val="EndnoteText"/>
        <w:contextualSpacing/>
        <w:rPr>
          <w:rFonts w:cs="Arial"/>
          <w:sz w:val="18"/>
          <w:szCs w:val="18"/>
          <w:lang w:val="en-US"/>
        </w:rPr>
      </w:pPr>
    </w:p>
  </w:endnote>
  <w:endnote w:id="14">
    <w:p w14:paraId="380A6E60" w14:textId="77777777" w:rsidR="00666026" w:rsidRPr="009541B6" w:rsidRDefault="00666026" w:rsidP="00666026">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We take Monitor’s data on page 44 (</w:t>
      </w:r>
      <w:hyperlink r:id="rId11" w:history="1">
        <w:r w:rsidRPr="009541B6">
          <w:rPr>
            <w:rStyle w:val="Hyperlink"/>
            <w:rFonts w:cs="Arial"/>
            <w:sz w:val="18"/>
            <w:szCs w:val="18"/>
            <w:lang w:val="en-US"/>
          </w:rPr>
          <w:t>click here</w:t>
        </w:r>
      </w:hyperlink>
      <w:r w:rsidRPr="009541B6">
        <w:rPr>
          <w:rFonts w:cs="Arial"/>
          <w:sz w:val="18"/>
          <w:szCs w:val="18"/>
          <w:lang w:val="en-US"/>
        </w:rPr>
        <w:t>) on completed Direct Access Audiology pathways for each year. We assume that all these patients had a hearing test when referred. We take reference cost activity data for 2012/13 (provided below). We compare the number of reported assessments to Monitor’s reported figures and calculate an average of 71% (range 69-76%). To check our 71% estimate we compare this to the known causes of hearing loss in a population and our calculations for England which suggest 73% of all hearing loss can be managed by audiologists and for people aged 55 and over at least 89% of patients do not need ENT referral. And compare this to the 90% estimate in the peer-reviewed literature (</w:t>
      </w:r>
      <w:r w:rsidRPr="009541B6">
        <w:rPr>
          <w:rFonts w:cs="Arial"/>
          <w:sz w:val="18"/>
          <w:szCs w:val="18"/>
        </w:rPr>
        <w:t xml:space="preserve">Zapala, D. A. et al 2010. Safety of Audiology Direct Access for Medicare Patients Complaining in Impaired Hearing. </w:t>
      </w:r>
      <w:r w:rsidRPr="009541B6">
        <w:rPr>
          <w:rFonts w:cs="Arial"/>
          <w:color w:val="262626"/>
          <w:sz w:val="18"/>
          <w:szCs w:val="18"/>
        </w:rPr>
        <w:t>Journal of the American Academy of Audiology, 21(6), pp. 365-379.)</w:t>
      </w:r>
      <w:r w:rsidRPr="009541B6">
        <w:rPr>
          <w:rFonts w:cs="Arial"/>
          <w:sz w:val="18"/>
          <w:szCs w:val="18"/>
          <w:lang w:val="en-US"/>
        </w:rPr>
        <w:t xml:space="preserve"> As age-related hearing loss will be the main driver of activity in coming years, and is already provided safely in primary care settings, we estimate 71%-90% of all activity could be done in the community.</w:t>
      </w:r>
    </w:p>
    <w:p w14:paraId="033934BE" w14:textId="77777777" w:rsidR="00666026" w:rsidRPr="009541B6" w:rsidRDefault="00666026" w:rsidP="00666026">
      <w:pPr>
        <w:pStyle w:val="EndnoteText"/>
        <w:contextualSpacing/>
        <w:rPr>
          <w:rFonts w:cs="Arial"/>
          <w:sz w:val="18"/>
          <w:szCs w:val="18"/>
          <w:lang w:val="en-US"/>
        </w:rPr>
      </w:pPr>
    </w:p>
  </w:endnote>
  <w:endnote w:id="15">
    <w:p w14:paraId="44A904A9" w14:textId="77777777" w:rsidR="00666026" w:rsidRPr="009541B6" w:rsidRDefault="00666026" w:rsidP="00666026">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w:t>
      </w:r>
      <w:r>
        <w:rPr>
          <w:rFonts w:cs="Arial"/>
          <w:sz w:val="18"/>
          <w:szCs w:val="18"/>
          <w:lang w:val="en-US"/>
        </w:rPr>
        <w:t>W</w:t>
      </w:r>
      <w:r w:rsidRPr="009541B6">
        <w:rPr>
          <w:rFonts w:cs="Arial"/>
          <w:sz w:val="18"/>
          <w:szCs w:val="18"/>
        </w:rPr>
        <w:t>e provide reference cost activity for NICE to review. It is clear that most audiology activity is driven by hearing aid repairs (graph below). Other sections in our submission explain the prevalence of hearing loss and differential diagno</w:t>
      </w:r>
      <w:r>
        <w:rPr>
          <w:rFonts w:cs="Arial"/>
          <w:sz w:val="18"/>
          <w:szCs w:val="18"/>
        </w:rPr>
        <w:t>sis</w:t>
      </w:r>
      <w:r w:rsidRPr="009541B6">
        <w:rPr>
          <w:rFonts w:cs="Arial"/>
          <w:sz w:val="18"/>
          <w:szCs w:val="18"/>
        </w:rPr>
        <w:t xml:space="preserve">. </w:t>
      </w:r>
    </w:p>
    <w:p w14:paraId="2324A49C" w14:textId="77777777" w:rsidR="00666026" w:rsidRPr="009541B6" w:rsidRDefault="00666026" w:rsidP="00666026">
      <w:pPr>
        <w:contextualSpacing/>
        <w:rPr>
          <w:rFonts w:cs="Arial"/>
          <w:sz w:val="18"/>
          <w:szCs w:val="18"/>
        </w:rPr>
      </w:pPr>
      <w:r w:rsidRPr="009541B6">
        <w:rPr>
          <w:rFonts w:cs="Arial"/>
          <w:noProof/>
          <w:sz w:val="18"/>
          <w:szCs w:val="18"/>
          <w:lang w:eastAsia="en-GB"/>
        </w:rPr>
        <w:drawing>
          <wp:inline distT="0" distB="0" distL="0" distR="0" wp14:anchorId="2065B8BF" wp14:editId="796D34D3">
            <wp:extent cx="5715000" cy="181927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CBBDA7" w14:textId="77777777" w:rsidR="00666026" w:rsidRPr="009541B6" w:rsidRDefault="00666026" w:rsidP="00666026">
      <w:pPr>
        <w:contextualSpacing/>
        <w:rPr>
          <w:rFonts w:cs="Arial"/>
          <w:sz w:val="18"/>
          <w:szCs w:val="18"/>
        </w:rPr>
      </w:pPr>
      <w:r w:rsidRPr="009541B6">
        <w:rPr>
          <w:rFonts w:cs="Arial"/>
          <w:sz w:val="18"/>
          <w:szCs w:val="18"/>
        </w:rPr>
        <w:t>Graph: Percentage of adult patient visits that are devoted repairs in each year per audiology service provider (Calculated by dividing total reported activity by the number of submissions (Source: reference cost data 2004-2012).</w:t>
      </w:r>
    </w:p>
    <w:p w14:paraId="5637865C" w14:textId="77777777" w:rsidR="00666026" w:rsidRPr="009541B6" w:rsidRDefault="00666026" w:rsidP="00666026">
      <w:pPr>
        <w:pStyle w:val="EndnoteText"/>
        <w:contextualSpacing/>
        <w:rPr>
          <w:rFonts w:cs="Arial"/>
          <w:sz w:val="18"/>
          <w:szCs w:val="18"/>
        </w:rPr>
      </w:pPr>
    </w:p>
  </w:endnote>
  <w:endnote w:id="16">
    <w:p w14:paraId="2B2A5755" w14:textId="5CD18275" w:rsidR="00666026" w:rsidRPr="00764654" w:rsidRDefault="00666026" w:rsidP="00666026">
      <w:pPr>
        <w:widowControl w:val="0"/>
        <w:autoSpaceDE w:val="0"/>
        <w:autoSpaceDN w:val="0"/>
        <w:adjustRightInd w:val="0"/>
        <w:contextualSpacing/>
        <w:rPr>
          <w:rFonts w:cs="Arial"/>
          <w:sz w:val="18"/>
          <w:szCs w:val="18"/>
        </w:rPr>
      </w:pPr>
      <w:r w:rsidRPr="009541B6">
        <w:rPr>
          <w:rStyle w:val="EndnoteReference"/>
          <w:rFonts w:cs="Arial"/>
          <w:sz w:val="18"/>
          <w:szCs w:val="18"/>
        </w:rPr>
        <w:endnoteRef/>
      </w:r>
      <w:r w:rsidR="00764654">
        <w:rPr>
          <w:rFonts w:cs="Arial"/>
          <w:sz w:val="18"/>
          <w:szCs w:val="18"/>
        </w:rPr>
        <w:t xml:space="preserve"> AGE: </w:t>
      </w:r>
      <w:r w:rsidRPr="009541B6">
        <w:rPr>
          <w:rFonts w:cs="Arial"/>
          <w:sz w:val="18"/>
          <w:szCs w:val="18"/>
        </w:rPr>
        <w:t xml:space="preserve"> Davis, A. et al., 2007. Acceptability, benefit and costs of early screening for hearing disability: a study of potential screening tests and models. </w:t>
      </w:r>
      <w:r w:rsidRPr="009541B6">
        <w:rPr>
          <w:rFonts w:cs="Arial"/>
          <w:color w:val="262626"/>
          <w:sz w:val="18"/>
          <w:szCs w:val="18"/>
        </w:rPr>
        <w:t>Health technology assessment, 11(42)</w:t>
      </w:r>
      <w:r w:rsidRPr="009541B6">
        <w:rPr>
          <w:rFonts w:cs="Arial"/>
          <w:sz w:val="18"/>
          <w:szCs w:val="18"/>
        </w:rPr>
        <w:t>; NCHA (2014) dat</w:t>
      </w:r>
      <w:r w:rsidR="00764654">
        <w:rPr>
          <w:rFonts w:cs="Arial"/>
          <w:sz w:val="18"/>
          <w:szCs w:val="18"/>
        </w:rPr>
        <w:t>a on 88,203 hearing assessments. DISTANCE: Annex</w:t>
      </w:r>
      <w:r w:rsidRPr="009541B6">
        <w:rPr>
          <w:rFonts w:cs="Arial"/>
          <w:sz w:val="18"/>
          <w:szCs w:val="18"/>
        </w:rPr>
        <w:t xml:space="preserve"> </w:t>
      </w:r>
      <w:r w:rsidR="00764654">
        <w:rPr>
          <w:rFonts w:cs="Arial"/>
          <w:sz w:val="18"/>
          <w:szCs w:val="18"/>
        </w:rPr>
        <w:t>2</w:t>
      </w:r>
      <w:r w:rsidRPr="009541B6">
        <w:rPr>
          <w:rFonts w:cs="Arial"/>
          <w:sz w:val="18"/>
          <w:szCs w:val="18"/>
        </w:rPr>
        <w:t xml:space="preserve"> of Monitor’s 2015 report: </w:t>
      </w:r>
      <w:r w:rsidRPr="009541B6">
        <w:rPr>
          <w:rFonts w:cs="Arial"/>
          <w:color w:val="0029FA"/>
          <w:sz w:val="18"/>
          <w:szCs w:val="18"/>
          <w:lang w:val="en-US"/>
        </w:rPr>
        <w:t xml:space="preserve">NHS adult hearing services in England: exploring how choice is working for patients </w:t>
      </w:r>
      <w:r w:rsidRPr="009541B6">
        <w:rPr>
          <w:rFonts w:cs="Arial"/>
          <w:sz w:val="18"/>
          <w:szCs w:val="18"/>
          <w:lang w:val="en-US"/>
        </w:rPr>
        <w:t xml:space="preserve">for modelling of </w:t>
      </w:r>
      <w:r w:rsidR="00764654">
        <w:rPr>
          <w:rFonts w:cs="Arial"/>
          <w:sz w:val="18"/>
          <w:szCs w:val="18"/>
          <w:lang w:val="en-US"/>
        </w:rPr>
        <w:t>distance travelled before and after introduction of community provision (</w:t>
      </w:r>
      <w:hyperlink r:id="rId13" w:history="1">
        <w:r w:rsidR="00764654" w:rsidRPr="00764654">
          <w:rPr>
            <w:rStyle w:val="Hyperlink"/>
            <w:rFonts w:cs="Arial"/>
            <w:sz w:val="18"/>
            <w:szCs w:val="18"/>
            <w:lang w:val="en-US"/>
          </w:rPr>
          <w:t>here</w:t>
        </w:r>
      </w:hyperlink>
      <w:r w:rsidR="00764654">
        <w:rPr>
          <w:rFonts w:cs="Arial"/>
          <w:sz w:val="18"/>
          <w:szCs w:val="18"/>
          <w:lang w:val="en-US"/>
        </w:rPr>
        <w:t>)</w:t>
      </w:r>
    </w:p>
    <w:p w14:paraId="12651E8A" w14:textId="77777777" w:rsidR="00666026" w:rsidRPr="009541B6" w:rsidRDefault="00666026" w:rsidP="00666026">
      <w:pPr>
        <w:widowControl w:val="0"/>
        <w:autoSpaceDE w:val="0"/>
        <w:autoSpaceDN w:val="0"/>
        <w:adjustRightInd w:val="0"/>
        <w:contextualSpacing/>
        <w:rPr>
          <w:rFonts w:cs="Arial"/>
          <w:sz w:val="18"/>
          <w:szCs w:val="18"/>
          <w:lang w:val="en-US"/>
        </w:rPr>
      </w:pPr>
    </w:p>
  </w:endnote>
  <w:endnote w:id="17">
    <w:p w14:paraId="4C51529F" w14:textId="77777777" w:rsidR="00666026" w:rsidRPr="009541B6" w:rsidRDefault="00666026" w:rsidP="00666026">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w:t>
      </w:r>
    </w:p>
    <w:p w14:paraId="66DB8A55" w14:textId="77777777" w:rsidR="00666026" w:rsidRPr="009541B6" w:rsidRDefault="00666026" w:rsidP="00666026">
      <w:pPr>
        <w:pStyle w:val="EndnoteText"/>
        <w:contextualSpacing/>
        <w:rPr>
          <w:rFonts w:cs="Arial"/>
          <w:sz w:val="18"/>
          <w:szCs w:val="18"/>
          <w:lang w:val="en-US"/>
        </w:rPr>
      </w:pPr>
    </w:p>
  </w:endnote>
  <w:endnote w:id="18">
    <w:p w14:paraId="0F56C04A" w14:textId="77777777" w:rsidR="00666026" w:rsidRPr="009541B6" w:rsidRDefault="00666026" w:rsidP="00666026">
      <w:pPr>
        <w:pStyle w:val="EndnoteText"/>
        <w:contextualSpacing/>
        <w:jc w:val="both"/>
        <w:rPr>
          <w:rFonts w:cs="Arial"/>
          <w:sz w:val="18"/>
          <w:szCs w:val="18"/>
        </w:rPr>
      </w:pPr>
      <w:r w:rsidRPr="009541B6">
        <w:rPr>
          <w:rStyle w:val="EndnoteReference"/>
          <w:rFonts w:cs="Arial"/>
          <w:sz w:val="18"/>
          <w:szCs w:val="18"/>
        </w:rPr>
        <w:endnoteRef/>
      </w:r>
      <w:r w:rsidRPr="009541B6">
        <w:rPr>
          <w:rFonts w:cs="Arial"/>
          <w:sz w:val="18"/>
          <w:szCs w:val="18"/>
        </w:rPr>
        <w:t xml:space="preserve"> Department of Health:</w:t>
      </w:r>
    </w:p>
    <w:p w14:paraId="0E1B8F75" w14:textId="77777777" w:rsidR="00666026" w:rsidRPr="009541B6" w:rsidRDefault="00666026" w:rsidP="00666026">
      <w:pPr>
        <w:pStyle w:val="EndnoteText"/>
        <w:contextualSpacing/>
        <w:jc w:val="both"/>
        <w:rPr>
          <w:rFonts w:cs="Arial"/>
          <w:sz w:val="18"/>
          <w:szCs w:val="18"/>
        </w:rPr>
      </w:pPr>
    </w:p>
    <w:p w14:paraId="525B344C" w14:textId="77777777" w:rsidR="00666026" w:rsidRPr="009541B6" w:rsidRDefault="00666026" w:rsidP="00666026">
      <w:pPr>
        <w:pStyle w:val="EndnoteText"/>
        <w:contextualSpacing/>
        <w:jc w:val="both"/>
        <w:rPr>
          <w:rFonts w:cs="Arial"/>
          <w:sz w:val="18"/>
          <w:szCs w:val="18"/>
        </w:rPr>
      </w:pPr>
      <w:r w:rsidRPr="009541B6">
        <w:rPr>
          <w:rFonts w:cs="Arial"/>
          <w:sz w:val="18"/>
          <w:szCs w:val="18"/>
        </w:rPr>
        <w:t>Department of Health, 2007. Evidence Submission to Health Select Committee. pp.74-75 in Health Committee, House of Commons, 2007. Audiology Services. (HC 392, Fifth Report of Session 2006-7) – Report, together with formal minutes, oral and written evidence. London: The Stationary Office Limited; Department of Health, 2007. Improving Access to Audiology Services in England. Leeds: Department of Health; Department of Health, 2009. Hearing Services for Older People. London: Department of Health; Department of Health, 2012. Any Qualified Provider Adult Hearing Services Implementation Packs. London: Department of Health.</w:t>
      </w:r>
    </w:p>
    <w:p w14:paraId="0FF23BAD" w14:textId="77777777" w:rsidR="00666026" w:rsidRPr="009541B6" w:rsidRDefault="00666026" w:rsidP="00666026">
      <w:pPr>
        <w:pStyle w:val="EndnoteText"/>
        <w:contextualSpacing/>
        <w:rPr>
          <w:rFonts w:cs="Arial"/>
          <w:sz w:val="18"/>
          <w:szCs w:val="18"/>
        </w:rPr>
      </w:pPr>
    </w:p>
    <w:p w14:paraId="5AE81D2F" w14:textId="77777777" w:rsidR="00666026" w:rsidRPr="009541B6" w:rsidRDefault="00666026" w:rsidP="00666026">
      <w:pPr>
        <w:pStyle w:val="EndnoteText"/>
        <w:contextualSpacing/>
        <w:rPr>
          <w:rFonts w:cs="Arial"/>
          <w:sz w:val="18"/>
          <w:szCs w:val="18"/>
        </w:rPr>
      </w:pPr>
      <w:r w:rsidRPr="009541B6">
        <w:rPr>
          <w:rFonts w:cs="Arial"/>
          <w:sz w:val="18"/>
          <w:szCs w:val="18"/>
        </w:rPr>
        <w:t>NHS England, NHS Improvement et al:</w:t>
      </w:r>
    </w:p>
    <w:p w14:paraId="15B47CE7" w14:textId="77777777" w:rsidR="00666026" w:rsidRPr="009541B6" w:rsidRDefault="00666026" w:rsidP="00666026">
      <w:pPr>
        <w:pStyle w:val="EndnoteText"/>
        <w:contextualSpacing/>
        <w:rPr>
          <w:rFonts w:cs="Arial"/>
          <w:sz w:val="18"/>
          <w:szCs w:val="18"/>
        </w:rPr>
      </w:pPr>
    </w:p>
    <w:p w14:paraId="482861D0" w14:textId="77777777" w:rsidR="00666026" w:rsidRPr="009541B6" w:rsidRDefault="00666026" w:rsidP="00666026">
      <w:pPr>
        <w:pStyle w:val="EndnoteText"/>
        <w:contextualSpacing/>
        <w:rPr>
          <w:rStyle w:val="Hyperlink"/>
          <w:rFonts w:cs="Arial"/>
          <w:sz w:val="18"/>
          <w:szCs w:val="18"/>
        </w:rPr>
      </w:pPr>
      <w:r w:rsidRPr="009541B6">
        <w:rPr>
          <w:rFonts w:cs="Arial"/>
          <w:sz w:val="18"/>
          <w:szCs w:val="18"/>
        </w:rPr>
        <w:t>NHS Improvement, 2010. Audiology Improvement Programme: Pushing the boundaries: Evidence to support the delivery of good practice in audiology. Leicester: NHS Improvement.</w:t>
      </w:r>
      <w:r w:rsidRPr="009541B6">
        <w:rPr>
          <w:rFonts w:cs="Arial"/>
          <w:sz w:val="18"/>
          <w:szCs w:val="18"/>
          <w:lang w:val="en-US"/>
        </w:rPr>
        <w:t xml:space="preserve"> </w:t>
      </w:r>
      <w:hyperlink r:id="rId14" w:history="1">
        <w:r w:rsidRPr="009541B6">
          <w:rPr>
            <w:rStyle w:val="Hyperlink"/>
            <w:rFonts w:cs="Arial"/>
            <w:sz w:val="18"/>
            <w:szCs w:val="18"/>
          </w:rPr>
          <w:t>p.5</w:t>
        </w:r>
      </w:hyperlink>
    </w:p>
    <w:p w14:paraId="503D55BB" w14:textId="77777777" w:rsidR="00666026" w:rsidRPr="009541B6" w:rsidRDefault="00666026" w:rsidP="00666026">
      <w:pPr>
        <w:pStyle w:val="EndnoteText"/>
        <w:contextualSpacing/>
        <w:rPr>
          <w:rFonts w:cs="Arial"/>
          <w:sz w:val="18"/>
          <w:szCs w:val="18"/>
        </w:rPr>
      </w:pPr>
      <w:r w:rsidRPr="009541B6">
        <w:rPr>
          <w:rFonts w:cs="Arial"/>
          <w:sz w:val="18"/>
          <w:szCs w:val="18"/>
        </w:rPr>
        <w:t xml:space="preserve">NHS England and Department of Health, 2015, Action Plan on Hearing Loss </w:t>
      </w:r>
      <w:hyperlink r:id="rId15" w:history="1">
        <w:r w:rsidRPr="009541B6">
          <w:rPr>
            <w:rStyle w:val="Hyperlink"/>
            <w:rFonts w:cs="Arial"/>
            <w:sz w:val="18"/>
            <w:szCs w:val="18"/>
          </w:rPr>
          <w:t>http://www.england.nhs.uk/wp-content/uploads/2015/03/act-plan-hearing-loss-upd.pdf</w:t>
        </w:r>
      </w:hyperlink>
    </w:p>
    <w:p w14:paraId="5C0ED9B9" w14:textId="77777777" w:rsidR="00666026" w:rsidRPr="009541B6" w:rsidRDefault="00666026" w:rsidP="00666026">
      <w:pPr>
        <w:pStyle w:val="EndnoteText"/>
        <w:contextualSpacing/>
        <w:rPr>
          <w:rFonts w:cs="Arial"/>
          <w:sz w:val="18"/>
          <w:szCs w:val="18"/>
        </w:rPr>
      </w:pPr>
    </w:p>
    <w:p w14:paraId="40C37289" w14:textId="77777777" w:rsidR="00666026" w:rsidRPr="009541B6" w:rsidRDefault="00666026" w:rsidP="00666026">
      <w:pPr>
        <w:pStyle w:val="EndnoteText"/>
        <w:contextualSpacing/>
        <w:rPr>
          <w:rFonts w:cs="Arial"/>
          <w:sz w:val="18"/>
          <w:szCs w:val="18"/>
        </w:rPr>
      </w:pPr>
      <w:r w:rsidRPr="009541B6">
        <w:rPr>
          <w:rFonts w:cs="Arial"/>
          <w:sz w:val="18"/>
          <w:szCs w:val="18"/>
        </w:rPr>
        <w:t xml:space="preserve">Patient Groups: </w:t>
      </w:r>
    </w:p>
    <w:p w14:paraId="250DD3ED" w14:textId="77777777" w:rsidR="00666026" w:rsidRPr="009541B6" w:rsidRDefault="00666026" w:rsidP="00666026">
      <w:pPr>
        <w:pStyle w:val="EndnoteText"/>
        <w:contextualSpacing/>
        <w:rPr>
          <w:rFonts w:cs="Arial"/>
          <w:sz w:val="18"/>
          <w:szCs w:val="18"/>
        </w:rPr>
      </w:pPr>
    </w:p>
    <w:p w14:paraId="1E8802FE" w14:textId="77777777" w:rsidR="00666026" w:rsidRPr="009541B6" w:rsidRDefault="00666026" w:rsidP="00666026">
      <w:pPr>
        <w:pStyle w:val="EndnoteText"/>
        <w:contextualSpacing/>
        <w:rPr>
          <w:rFonts w:cs="Arial"/>
          <w:sz w:val="18"/>
          <w:szCs w:val="18"/>
        </w:rPr>
      </w:pPr>
      <w:r w:rsidRPr="009541B6">
        <w:rPr>
          <w:rFonts w:cs="Arial"/>
          <w:sz w:val="18"/>
          <w:szCs w:val="18"/>
        </w:rPr>
        <w:t>RNID, 1988. Hearing aids a case for change. p. 5: RNID, 1999. Waiting to Hear. London p. 21; Action on Hearing Loss, 2011. Hearing Matters. P.68</w:t>
      </w:r>
    </w:p>
    <w:p w14:paraId="62E78038" w14:textId="77777777" w:rsidR="00666026" w:rsidRPr="009541B6" w:rsidRDefault="00666026" w:rsidP="00666026">
      <w:pPr>
        <w:pStyle w:val="EndnoteText"/>
        <w:contextualSpacing/>
        <w:rPr>
          <w:rFonts w:cs="Arial"/>
          <w:sz w:val="18"/>
          <w:szCs w:val="18"/>
        </w:rPr>
      </w:pPr>
    </w:p>
  </w:endnote>
  <w:endnote w:id="19">
    <w:p w14:paraId="662EDC27"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Right Care (2013) Atlas of Variation, Map 23 (page 102) and Map 24 (page 104)</w:t>
      </w:r>
    </w:p>
    <w:p w14:paraId="2EC0AF04" w14:textId="77777777" w:rsidR="00FE5F1E" w:rsidRPr="009541B6" w:rsidRDefault="00FE5F1E" w:rsidP="00FE5F1E">
      <w:pPr>
        <w:pStyle w:val="EndnoteText"/>
        <w:contextualSpacing/>
        <w:rPr>
          <w:rFonts w:cs="Arial"/>
          <w:sz w:val="18"/>
          <w:szCs w:val="18"/>
        </w:rPr>
      </w:pPr>
    </w:p>
  </w:endnote>
  <w:endnote w:id="20">
    <w:p w14:paraId="3107070B"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Right Care (2013) Atlas of Variation, Map 23 (page 102) </w:t>
      </w:r>
    </w:p>
  </w:endnote>
  <w:endnote w:id="21">
    <w:p w14:paraId="75A5FB9F" w14:textId="77777777" w:rsidR="00FE5F1E" w:rsidRPr="009541B6" w:rsidRDefault="00FE5F1E" w:rsidP="00FE5F1E">
      <w:pPr>
        <w:contextualSpacing/>
        <w:rPr>
          <w:rFonts w:cs="Arial"/>
          <w:sz w:val="18"/>
          <w:szCs w:val="18"/>
        </w:rPr>
      </w:pPr>
    </w:p>
    <w:p w14:paraId="7BB2FFAA" w14:textId="77777777" w:rsidR="00FE5F1E" w:rsidRPr="009541B6" w:rsidRDefault="00FE5F1E" w:rsidP="00FE5F1E">
      <w:pPr>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This includes reported activity for hearing assessments, fits, follow-ups and repairs rising from </w:t>
      </w:r>
      <w:r w:rsidRPr="009541B6">
        <w:rPr>
          <w:rFonts w:cs="Arial"/>
          <w:color w:val="000000"/>
          <w:sz w:val="18"/>
          <w:szCs w:val="18"/>
        </w:rPr>
        <w:t xml:space="preserve">1,098,196 (2002/2003) to 2,657,610 (2012/2013): </w:t>
      </w:r>
      <w:r w:rsidRPr="009541B6">
        <w:rPr>
          <w:rFonts w:cs="Arial"/>
          <w:sz w:val="18"/>
          <w:szCs w:val="18"/>
          <w:lang w:val="en-US"/>
        </w:rPr>
        <w:t xml:space="preserve">Audiology Service Activity 2004-2013 (source: Department of Health). </w:t>
      </w:r>
    </w:p>
    <w:p w14:paraId="1D07152C" w14:textId="77777777" w:rsidR="00FE5F1E" w:rsidRPr="009541B6" w:rsidRDefault="00FE5F1E" w:rsidP="00FE5F1E">
      <w:pPr>
        <w:contextualSpacing/>
        <w:rPr>
          <w:rFonts w:cs="Arial"/>
          <w:sz w:val="18"/>
          <w:szCs w:val="18"/>
          <w:lang w:val="en-US"/>
        </w:rPr>
      </w:pPr>
    </w:p>
    <w:p w14:paraId="33C3E891" w14:textId="77777777" w:rsidR="00FE5F1E" w:rsidRPr="009541B6" w:rsidRDefault="00FE5F1E" w:rsidP="00FE5F1E">
      <w:pPr>
        <w:contextualSpacing/>
        <w:rPr>
          <w:rFonts w:cs="Arial"/>
          <w:sz w:val="18"/>
          <w:szCs w:val="18"/>
          <w:lang w:val="en-US"/>
        </w:rPr>
      </w:pPr>
      <w:r w:rsidRPr="009541B6">
        <w:rPr>
          <w:rFonts w:cs="Arial"/>
          <w:sz w:val="18"/>
          <w:szCs w:val="18"/>
          <w:lang w:val="en-US"/>
        </w:rPr>
        <w:t>The graph below shows estimated growth at department level</w:t>
      </w:r>
    </w:p>
    <w:p w14:paraId="7DBDC343" w14:textId="77777777" w:rsidR="00FE5F1E" w:rsidRPr="009541B6" w:rsidRDefault="00FE5F1E" w:rsidP="00FE5F1E">
      <w:pPr>
        <w:contextualSpacing/>
        <w:rPr>
          <w:rFonts w:cs="Arial"/>
          <w:sz w:val="18"/>
          <w:szCs w:val="18"/>
          <w:lang w:val="en-US"/>
        </w:rPr>
      </w:pPr>
    </w:p>
    <w:p w14:paraId="73F8D134" w14:textId="77777777" w:rsidR="00FE5F1E" w:rsidRPr="009541B6" w:rsidRDefault="00FE5F1E" w:rsidP="00FE5F1E">
      <w:pPr>
        <w:contextualSpacing/>
        <w:rPr>
          <w:rFonts w:cs="Arial"/>
          <w:b/>
          <w:sz w:val="18"/>
          <w:szCs w:val="18"/>
        </w:rPr>
      </w:pPr>
      <w:r w:rsidRPr="009541B6">
        <w:rPr>
          <w:rFonts w:cs="Arial"/>
          <w:noProof/>
          <w:sz w:val="18"/>
          <w:szCs w:val="18"/>
          <w:lang w:eastAsia="en-GB"/>
        </w:rPr>
        <w:drawing>
          <wp:inline distT="0" distB="0" distL="0" distR="0" wp14:anchorId="15FE6EEA" wp14:editId="5CF1CBF1">
            <wp:extent cx="5753100" cy="26574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B7EBF70" w14:textId="77777777" w:rsidR="00FE5F1E" w:rsidRPr="009541B6" w:rsidRDefault="00FE5F1E" w:rsidP="00FE5F1E">
      <w:pPr>
        <w:contextualSpacing/>
        <w:rPr>
          <w:rFonts w:cs="Arial"/>
          <w:sz w:val="18"/>
          <w:szCs w:val="18"/>
        </w:rPr>
      </w:pPr>
      <w:r w:rsidRPr="009541B6">
        <w:rPr>
          <w:rFonts w:cs="Arial"/>
          <w:b/>
          <w:sz w:val="18"/>
          <w:szCs w:val="18"/>
        </w:rPr>
        <w:t>Graph</w:t>
      </w:r>
      <w:r w:rsidRPr="009541B6">
        <w:rPr>
          <w:rFonts w:cs="Arial"/>
          <w:sz w:val="18"/>
          <w:szCs w:val="18"/>
        </w:rPr>
        <w:t>: Average number of patient visits for a hearing assessment per audiology service provider (Calculated by dividing total reported activity by the number of submissions (Source: Reference cost data 2003-2012).</w:t>
      </w:r>
    </w:p>
    <w:p w14:paraId="3882F5CB" w14:textId="77777777" w:rsidR="00FE5F1E" w:rsidRPr="009541B6" w:rsidRDefault="00FE5F1E" w:rsidP="00FE5F1E">
      <w:pPr>
        <w:contextualSpacing/>
        <w:rPr>
          <w:rFonts w:cs="Arial"/>
          <w:color w:val="000000"/>
          <w:sz w:val="18"/>
          <w:szCs w:val="18"/>
        </w:rPr>
      </w:pPr>
    </w:p>
  </w:endnote>
  <w:endnote w:id="22">
    <w:p w14:paraId="131C38E0" w14:textId="77777777" w:rsidR="00FE5F1E" w:rsidRPr="009541B6" w:rsidRDefault="00FE5F1E" w:rsidP="00FE5F1E">
      <w:pPr>
        <w:contextualSpacing/>
        <w:rPr>
          <w:rFonts w:cs="Arial"/>
          <w:color w:val="262626"/>
          <w:sz w:val="18"/>
          <w:szCs w:val="18"/>
        </w:rPr>
      </w:pPr>
      <w:r w:rsidRPr="009541B6">
        <w:rPr>
          <w:rStyle w:val="EndnoteReference"/>
          <w:rFonts w:cs="Arial"/>
          <w:sz w:val="18"/>
          <w:szCs w:val="18"/>
        </w:rPr>
        <w:endnoteRef/>
      </w:r>
      <w:r w:rsidRPr="009541B6">
        <w:rPr>
          <w:rFonts w:cs="Arial"/>
          <w:sz w:val="18"/>
          <w:szCs w:val="18"/>
        </w:rPr>
        <w:t xml:space="preserve"> Davis, A. and Smith, P., 2013. Adult Hearing Screening: Health Policy Issues – What Happens Next? </w:t>
      </w:r>
      <w:r w:rsidRPr="009541B6">
        <w:rPr>
          <w:rFonts w:cs="Arial"/>
          <w:color w:val="262626"/>
          <w:sz w:val="18"/>
          <w:szCs w:val="18"/>
        </w:rPr>
        <w:t xml:space="preserve">American Journal of Audiology, 22(1), pp. 167-170.  Note: Davis and Smith update estimates from previous research but do not provide their methodology. Their earlier research took place before digital hearing aids were introduced into the NHS. Since then more people have been fitted and therefore Davis and Smith’s estimate of 3.8 million might slightly over estimate unmet need.  </w:t>
      </w:r>
    </w:p>
  </w:endnote>
  <w:endnote w:id="23">
    <w:p w14:paraId="3CBEB1D5"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NHS Improvement, Diagnostics (2013) Page 8, NHS Improvement – Diagnostics. Top tips to overcome the challenge of commissioning diagnostics services. Page 8</w:t>
      </w:r>
    </w:p>
    <w:p w14:paraId="7AB904A7" w14:textId="77777777" w:rsidR="00FE5F1E" w:rsidRPr="009541B6" w:rsidRDefault="00FE5F1E" w:rsidP="00FE5F1E">
      <w:pPr>
        <w:pStyle w:val="EndnoteText"/>
        <w:contextualSpacing/>
        <w:rPr>
          <w:rFonts w:cs="Arial"/>
          <w:sz w:val="18"/>
          <w:szCs w:val="18"/>
        </w:rPr>
      </w:pPr>
    </w:p>
  </w:endnote>
  <w:endnote w:id="24">
    <w:p w14:paraId="26F4776D"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We take Monitor’s data on page 44 (</w:t>
      </w:r>
      <w:hyperlink r:id="rId17" w:history="1">
        <w:r w:rsidRPr="009541B6">
          <w:rPr>
            <w:rStyle w:val="Hyperlink"/>
            <w:rFonts w:cs="Arial"/>
            <w:sz w:val="18"/>
            <w:szCs w:val="18"/>
            <w:lang w:val="en-US"/>
          </w:rPr>
          <w:t>click here</w:t>
        </w:r>
      </w:hyperlink>
      <w:r w:rsidRPr="009541B6">
        <w:rPr>
          <w:rFonts w:cs="Arial"/>
          <w:sz w:val="18"/>
          <w:szCs w:val="18"/>
          <w:lang w:val="en-US"/>
        </w:rPr>
        <w:t xml:space="preserve">) on completed Direct Access Audiology pathways for each year. We assume that all these patients had a hearing test when referred. We take reference cost activity data for </w:t>
      </w:r>
      <w:r>
        <w:rPr>
          <w:rFonts w:cs="Arial"/>
          <w:sz w:val="18"/>
          <w:szCs w:val="18"/>
          <w:lang w:val="en-US"/>
        </w:rPr>
        <w:t>the same period</w:t>
      </w:r>
      <w:r w:rsidRPr="009541B6">
        <w:rPr>
          <w:rFonts w:cs="Arial"/>
          <w:sz w:val="18"/>
          <w:szCs w:val="18"/>
          <w:lang w:val="en-US"/>
        </w:rPr>
        <w:t>. We compare the number of reported assessments to Monitor’s reported figures and calculate an average of 71% (range 69-76%). To check our 71% estimate we compare this to the known causes of hearing loss in a population and our calculations for England which suggest 73% of all hearing loss can be managed by audiologists</w:t>
      </w:r>
      <w:r>
        <w:rPr>
          <w:rFonts w:cs="Arial"/>
          <w:sz w:val="18"/>
          <w:szCs w:val="18"/>
          <w:lang w:val="en-US"/>
        </w:rPr>
        <w:t>,</w:t>
      </w:r>
      <w:r w:rsidRPr="009541B6">
        <w:rPr>
          <w:rFonts w:cs="Arial"/>
          <w:sz w:val="18"/>
          <w:szCs w:val="18"/>
          <w:lang w:val="en-US"/>
        </w:rPr>
        <w:t xml:space="preserve"> and for people aged 55 and over at least 89% of patients do not need ENT referral. </w:t>
      </w:r>
      <w:r>
        <w:rPr>
          <w:rFonts w:cs="Arial"/>
          <w:sz w:val="18"/>
          <w:szCs w:val="18"/>
          <w:lang w:val="en-US"/>
        </w:rPr>
        <w:t>To validate this we</w:t>
      </w:r>
      <w:r w:rsidRPr="009541B6">
        <w:rPr>
          <w:rFonts w:cs="Arial"/>
          <w:sz w:val="18"/>
          <w:szCs w:val="18"/>
          <w:lang w:val="en-US"/>
        </w:rPr>
        <w:t xml:space="preserve"> compare this to the 90% estimate in the peer-reviewed literature (</w:t>
      </w:r>
      <w:r w:rsidRPr="009541B6">
        <w:rPr>
          <w:rFonts w:cs="Arial"/>
          <w:sz w:val="18"/>
          <w:szCs w:val="18"/>
        </w:rPr>
        <w:t xml:space="preserve">Zapala, D. A. et al 2010. Safety of Audiology Direct Access for Medicare Patients Complaining in Impaired Hearing. </w:t>
      </w:r>
      <w:r w:rsidRPr="009541B6">
        <w:rPr>
          <w:rFonts w:cs="Arial"/>
          <w:color w:val="262626"/>
          <w:sz w:val="18"/>
          <w:szCs w:val="18"/>
        </w:rPr>
        <w:t>Journal of the American Academy of Audiology, 21(6), pp. 365-379.)</w:t>
      </w:r>
      <w:r w:rsidRPr="009541B6">
        <w:rPr>
          <w:rFonts w:cs="Arial"/>
          <w:sz w:val="18"/>
          <w:szCs w:val="18"/>
          <w:lang w:val="en-US"/>
        </w:rPr>
        <w:t xml:space="preserve"> As age-related hearing loss will be the main driver of activity in coming years, and is already provided safely in primary care settings, we estimate 71%-90% of all activity could be done in the community.</w:t>
      </w:r>
      <w:r>
        <w:rPr>
          <w:rFonts w:cs="Arial"/>
          <w:sz w:val="18"/>
          <w:szCs w:val="18"/>
          <w:lang w:val="en-US"/>
        </w:rPr>
        <w:t xml:space="preserve"> We apply this to total activity linked to adults and estimate that 1.8-2.3 million patient contacts could be delivered outside of hospital. </w:t>
      </w:r>
    </w:p>
    <w:p w14:paraId="0B9654B6" w14:textId="77777777" w:rsidR="00FE5F1E" w:rsidRPr="009541B6" w:rsidRDefault="00FE5F1E" w:rsidP="00FE5F1E">
      <w:pPr>
        <w:pStyle w:val="EndnoteText"/>
        <w:contextualSpacing/>
        <w:rPr>
          <w:rFonts w:cs="Arial"/>
          <w:sz w:val="18"/>
          <w:szCs w:val="18"/>
          <w:lang w:val="en-US"/>
        </w:rPr>
      </w:pPr>
    </w:p>
  </w:endnote>
  <w:endnote w:id="25">
    <w:p w14:paraId="213C81DE"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Hind et al. 2011. </w:t>
      </w:r>
      <w:r w:rsidRPr="009541B6">
        <w:rPr>
          <w:rFonts w:cs="Arial"/>
          <w:sz w:val="18"/>
          <w:szCs w:val="18"/>
          <w:lang w:val="en-US"/>
        </w:rPr>
        <w:t>Prevalence of clinical referrals having hearing thresholds within normal limits. International Journal of Audiology 2011; 50: 708–716</w:t>
      </w:r>
    </w:p>
    <w:p w14:paraId="294EDA85" w14:textId="77777777" w:rsidR="00FE5F1E" w:rsidRPr="009541B6" w:rsidRDefault="00FE5F1E" w:rsidP="00FE5F1E">
      <w:pPr>
        <w:pStyle w:val="EndnoteText"/>
        <w:contextualSpacing/>
        <w:rPr>
          <w:rFonts w:cs="Arial"/>
          <w:sz w:val="18"/>
          <w:szCs w:val="18"/>
          <w:lang w:val="en-US"/>
        </w:rPr>
      </w:pPr>
    </w:p>
  </w:endnote>
  <w:endnote w:id="26">
    <w:p w14:paraId="5121F4FC"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NDCS, 2014, Listen Up, available here </w:t>
      </w:r>
      <w:hyperlink r:id="rId18" w:history="1">
        <w:r w:rsidRPr="009541B6">
          <w:rPr>
            <w:rStyle w:val="Hyperlink"/>
            <w:rFonts w:cs="Arial"/>
            <w:sz w:val="18"/>
            <w:szCs w:val="18"/>
          </w:rPr>
          <w:t>http://www.ndcs.org.uk/document.rm?id=9393</w:t>
        </w:r>
      </w:hyperlink>
    </w:p>
    <w:p w14:paraId="1EC04B21" w14:textId="77777777" w:rsidR="00FE5F1E" w:rsidRPr="009541B6" w:rsidRDefault="00FE5F1E" w:rsidP="00FE5F1E">
      <w:pPr>
        <w:pStyle w:val="EndnoteText"/>
        <w:contextualSpacing/>
        <w:rPr>
          <w:rFonts w:cs="Arial"/>
          <w:sz w:val="18"/>
          <w:szCs w:val="18"/>
        </w:rPr>
      </w:pPr>
    </w:p>
  </w:endnote>
  <w:endnote w:id="27">
    <w:p w14:paraId="520EF3D3" w14:textId="77777777" w:rsidR="00FE5F1E" w:rsidRDefault="00FE5F1E" w:rsidP="00FE5F1E">
      <w:pPr>
        <w:contextualSpacing/>
        <w:rPr>
          <w:rFonts w:cs="Arial"/>
          <w:color w:val="262626"/>
          <w:sz w:val="18"/>
          <w:szCs w:val="18"/>
        </w:rPr>
      </w:pPr>
      <w:r w:rsidRPr="009541B6">
        <w:rPr>
          <w:rStyle w:val="EndnoteReference"/>
          <w:rFonts w:cs="Arial"/>
          <w:sz w:val="18"/>
          <w:szCs w:val="18"/>
        </w:rPr>
        <w:endnoteRef/>
      </w:r>
      <w:r w:rsidRPr="009541B6">
        <w:rPr>
          <w:rFonts w:cs="Arial"/>
          <w:sz w:val="18"/>
          <w:szCs w:val="18"/>
        </w:rPr>
        <w:t xml:space="preserve"> Zapala, D. A. et al 2010. Safety of Audiology Direct Access for Medicare Patients Complaining in Impaired Hearing. </w:t>
      </w:r>
      <w:r w:rsidRPr="009541B6">
        <w:rPr>
          <w:rFonts w:cs="Arial"/>
          <w:color w:val="262626"/>
          <w:sz w:val="18"/>
          <w:szCs w:val="18"/>
        </w:rPr>
        <w:t>Journal of the American Academy of Audiology, 21(6), pp. 365-379.</w:t>
      </w:r>
    </w:p>
    <w:p w14:paraId="22ACC065" w14:textId="77777777" w:rsidR="00FE5F1E" w:rsidRPr="009541B6" w:rsidRDefault="00FE5F1E" w:rsidP="00FE5F1E">
      <w:pPr>
        <w:contextualSpacing/>
        <w:rPr>
          <w:rFonts w:cs="Arial"/>
          <w:color w:val="262626"/>
          <w:sz w:val="18"/>
          <w:szCs w:val="18"/>
        </w:rPr>
      </w:pPr>
    </w:p>
  </w:endnote>
  <w:endnote w:id="28">
    <w:p w14:paraId="585D94E4"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Chisolm, T. et al. 2007. A Systematic Review of Health-Related Quality of Life and Hearing Aids: Final Report of the American Academy of Audiology Task Force on the Health-Related Quality of Life Benefits of Amplification in Adults. Journal of the American Audiology, 18(2), pp. 151-183; Barker, F. et al, 2014. Interventions to improve hearing aid use in adult auditory rehabilitation (Protocol). </w:t>
      </w:r>
      <w:r w:rsidRPr="009541B6">
        <w:rPr>
          <w:rFonts w:cs="Arial"/>
          <w:color w:val="262626"/>
          <w:sz w:val="18"/>
          <w:szCs w:val="18"/>
        </w:rPr>
        <w:t xml:space="preserve">Cochrane Database of Systematic Reviews: Reviews 2014; Issue 7 and most recently see </w:t>
      </w:r>
      <w:r w:rsidRPr="009541B6">
        <w:rPr>
          <w:rFonts w:cs="Arial"/>
          <w:sz w:val="18"/>
          <w:szCs w:val="18"/>
        </w:rPr>
        <w:t xml:space="preserve">NHS England and Department of Health, 2015, Action Plan on Hearing Loss </w:t>
      </w:r>
      <w:hyperlink r:id="rId19" w:history="1">
        <w:r w:rsidRPr="009541B6">
          <w:rPr>
            <w:rStyle w:val="Hyperlink"/>
            <w:rFonts w:cs="Arial"/>
            <w:sz w:val="18"/>
            <w:szCs w:val="18"/>
          </w:rPr>
          <w:t>http://www.england.nhs.uk/wp-content/uploads/2015/03/act-plan-hearing-loss-upd.pdf</w:t>
        </w:r>
      </w:hyperlink>
      <w:r w:rsidRPr="009541B6">
        <w:rPr>
          <w:rFonts w:cs="Arial"/>
          <w:sz w:val="18"/>
          <w:szCs w:val="18"/>
        </w:rPr>
        <w:t xml:space="preserve"> page 12-13</w:t>
      </w:r>
    </w:p>
    <w:p w14:paraId="1925E37F" w14:textId="77777777" w:rsidR="00FE5F1E" w:rsidRPr="009541B6" w:rsidRDefault="00FE5F1E" w:rsidP="00FE5F1E">
      <w:pPr>
        <w:contextualSpacing/>
        <w:rPr>
          <w:rFonts w:cs="Arial"/>
          <w:color w:val="262626"/>
          <w:sz w:val="18"/>
          <w:szCs w:val="18"/>
        </w:rPr>
      </w:pPr>
    </w:p>
  </w:endnote>
  <w:endnote w:id="29">
    <w:p w14:paraId="5D952B7E"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Department of Health; Department of Health, 2012. Any Qualified Provider Adult Hearing Services Implementation Packs. London: Department of Health (2012) p.10</w:t>
      </w:r>
    </w:p>
    <w:p w14:paraId="3EB26EFE" w14:textId="77777777" w:rsidR="00FE5F1E" w:rsidRPr="009541B6" w:rsidRDefault="00FE5F1E" w:rsidP="00FE5F1E">
      <w:pPr>
        <w:pStyle w:val="EndnoteText"/>
        <w:contextualSpacing/>
        <w:rPr>
          <w:rFonts w:cs="Arial"/>
          <w:sz w:val="18"/>
          <w:szCs w:val="18"/>
        </w:rPr>
      </w:pPr>
    </w:p>
  </w:endnote>
  <w:endnote w:id="30">
    <w:p w14:paraId="3FA7C372" w14:textId="585A0518" w:rsidR="00F2413A" w:rsidRPr="00F2413A" w:rsidRDefault="00FE5F1E" w:rsidP="00F2413A">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Swan, I.R.C. and Browning, G.G. 1994. A prospective evaluation of direct referral to audiology departments for hearing aids. The Journal of Laryngology and Otology, 108(2), pp. 120-124; </w:t>
      </w:r>
      <w:r w:rsidRPr="009541B6">
        <w:rPr>
          <w:rFonts w:cs="Arial"/>
          <w:color w:val="262626"/>
          <w:sz w:val="18"/>
          <w:szCs w:val="18"/>
        </w:rPr>
        <w:t xml:space="preserve">Reeves, D.J. et al., 2000, Community provision of hearing aids and related audiology services, Health technology assessment (Winchester, England), vol. 4, no. 4; </w:t>
      </w:r>
      <w:r w:rsidRPr="009541B6">
        <w:rPr>
          <w:rFonts w:cs="Arial"/>
          <w:sz w:val="18"/>
          <w:szCs w:val="18"/>
        </w:rPr>
        <w:t xml:space="preserve">Abdelkader, M. et al. 2003. Prospective evaluation of the value of direct referral hearing aid clinic in management of young patients with bilateral hearing loss. </w:t>
      </w:r>
      <w:r w:rsidRPr="009541B6">
        <w:rPr>
          <w:rFonts w:cs="Arial"/>
          <w:color w:val="262626"/>
          <w:sz w:val="18"/>
          <w:szCs w:val="18"/>
        </w:rPr>
        <w:t xml:space="preserve">Clinical Otolaryngology &amp; Allied Sciences, 29(3), pp. 206-209; </w:t>
      </w:r>
      <w:r w:rsidRPr="009541B6">
        <w:rPr>
          <w:rFonts w:cs="Arial"/>
          <w:sz w:val="18"/>
          <w:szCs w:val="18"/>
        </w:rPr>
        <w:t xml:space="preserve">Health Committee, House of Commons, 2007. Audiology Services. (HC 392, Fifth Report of Session 2006-7) – Report, together with formal minutes, oral and written evidence. London: The Stationary Office Limited; Eley, K. A. and FitzGerald, J. E. 2010. Quality improvement in action: Direct general practitioner referrals to audiology for the provision of hearing aids: a single centre review. Quality in Primary Care, 18(3), pp. 201-206; </w:t>
      </w:r>
      <w:r w:rsidR="00A4749D" w:rsidRPr="00F2413A">
        <w:rPr>
          <w:rFonts w:cs="Arial"/>
          <w:sz w:val="18"/>
          <w:szCs w:val="18"/>
        </w:rPr>
        <w:t xml:space="preserve">Also see identical referral criteria for community and hospital audiology: </w:t>
      </w:r>
      <w:r w:rsidR="00F2413A" w:rsidRPr="00F2413A">
        <w:rPr>
          <w:rFonts w:cs="Arial"/>
          <w:sz w:val="18"/>
          <w:szCs w:val="18"/>
        </w:rPr>
        <w:t xml:space="preserve">Department of Health; Department of Health, 2012. Any Qualified Provider Adult Hearing Services Implementation Packs. London: Department of Health Health (2012) </w:t>
      </w:r>
    </w:p>
    <w:p w14:paraId="5E1E5FAA" w14:textId="5267D505" w:rsidR="00A4749D" w:rsidRPr="009541B6" w:rsidRDefault="00A4749D" w:rsidP="00FE5F1E">
      <w:pPr>
        <w:pStyle w:val="EndnoteText"/>
        <w:contextualSpacing/>
        <w:rPr>
          <w:rFonts w:cs="Arial"/>
          <w:sz w:val="18"/>
          <w:szCs w:val="18"/>
        </w:rPr>
      </w:pPr>
    </w:p>
    <w:p w14:paraId="13B71D68" w14:textId="77777777" w:rsidR="00FE5F1E" w:rsidRPr="009541B6" w:rsidRDefault="00FE5F1E" w:rsidP="00FE5F1E">
      <w:pPr>
        <w:pStyle w:val="EndnoteText"/>
        <w:contextualSpacing/>
        <w:rPr>
          <w:rFonts w:cs="Arial"/>
          <w:sz w:val="18"/>
          <w:szCs w:val="18"/>
          <w:lang w:val="en-US"/>
        </w:rPr>
      </w:pPr>
    </w:p>
  </w:endnote>
  <w:endnote w:id="31">
    <w:p w14:paraId="72EFDFD1" w14:textId="77777777" w:rsidR="00FE5F1E" w:rsidRPr="009E0641" w:rsidRDefault="00FE5F1E" w:rsidP="009E0641">
      <w:pPr>
        <w:pStyle w:val="EndnoteText"/>
        <w:contextualSpacing/>
        <w:rPr>
          <w:rFonts w:cs="Arial"/>
          <w:sz w:val="18"/>
          <w:szCs w:val="18"/>
        </w:rPr>
      </w:pPr>
      <w:r w:rsidRPr="009E0641">
        <w:rPr>
          <w:rStyle w:val="EndnoteReference"/>
          <w:rFonts w:cs="Arial"/>
          <w:sz w:val="18"/>
          <w:szCs w:val="18"/>
        </w:rPr>
        <w:endnoteRef/>
      </w:r>
      <w:r w:rsidRPr="009E0641">
        <w:rPr>
          <w:rFonts w:cs="Arial"/>
          <w:sz w:val="18"/>
          <w:szCs w:val="18"/>
        </w:rPr>
        <w:t xml:space="preserve"> </w:t>
      </w:r>
      <w:bookmarkStart w:id="0" w:name="_Hlk50459445"/>
      <w:r w:rsidRPr="009E0641">
        <w:rPr>
          <w:rFonts w:cs="Arial"/>
          <w:sz w:val="18"/>
          <w:szCs w:val="18"/>
        </w:rPr>
        <w:t xml:space="preserve">(Provided by Sandhu, H): The vast majority of hearing assessments will result in a diagnosis of age-related hearing loss.  Life or hearing threating pathology is very (relatively) rare. We believe the community-based model of care, other things being equal, would be at least £30 million per annum less costly than the hospital c. £250million per annum reported cost.  Given this significant cost reduction, the cost per case of detecting rare diseases is unlikely to be justifiable on the NHS (see stage two). But more importantly, there is no evidence to support that hospital and community audiologists are better or worse than each other in detecting conditions that require onward referral to ENT. In fact, most diagnostic tests for conditions/symptoms requiring onward referral are not complicated and can be performed by both groups (ref: Swan, I.R.C. and Browning, G.G. 1994. A prospective evaluation of direct referral to audiology departments for hearing aids. The Journal of Laryngology and Otology, 108(2), pp. 120-124; </w:t>
      </w:r>
      <w:r w:rsidRPr="009E0641">
        <w:rPr>
          <w:rFonts w:cs="Arial"/>
          <w:color w:val="262626"/>
          <w:sz w:val="18"/>
          <w:szCs w:val="18"/>
        </w:rPr>
        <w:t xml:space="preserve">Reeves, D.J. et al., 2000, Community provision of hearing aids and related audiology services, Health technology assessment (Winchester, England), vol. 4, no. 4; </w:t>
      </w:r>
      <w:r w:rsidRPr="009E0641">
        <w:rPr>
          <w:rFonts w:cs="Arial"/>
          <w:sz w:val="18"/>
          <w:szCs w:val="18"/>
        </w:rPr>
        <w:t xml:space="preserve">Abdelkader, M. et al. 2003. Prospective evaluation of the value of direct referral hearing aid clinic in management of young patients with bilateral hearing loss. </w:t>
      </w:r>
      <w:r w:rsidRPr="009E0641">
        <w:rPr>
          <w:rFonts w:cs="Arial"/>
          <w:color w:val="262626"/>
          <w:sz w:val="18"/>
          <w:szCs w:val="18"/>
        </w:rPr>
        <w:t xml:space="preserve">Clinical Otolaryngology &amp; Allied Sciences, 29(3), pp. 206-209; </w:t>
      </w:r>
      <w:r w:rsidRPr="009E0641">
        <w:rPr>
          <w:rFonts w:cs="Arial"/>
          <w:sz w:val="18"/>
          <w:szCs w:val="18"/>
        </w:rPr>
        <w:t>Health Committee, House of Commons, 2007. Audiology Services. (HC 392, Fifth Report of Session 2006-7) – Report, together with formal minutes, oral and written evidence. London: The Stationary Office Limited; Eley, K. A. and FitzGerald, J. E. 2010. Quality improvement in action: Direct general practitioner referrals to audiology for the provision of hearing aids: a single centre review. Quality in Primary Care, 18(3), pp. 201-206).   This means the marginal cost per additional case of pathology detected is likely to be a) difficult to prove, and b) in any case not offer a cost-effective alternative to community-based care.</w:t>
      </w:r>
    </w:p>
    <w:p w14:paraId="776A483D" w14:textId="77777777" w:rsidR="00FE5F1E" w:rsidRPr="009E0641" w:rsidRDefault="00FE5F1E" w:rsidP="009E0641">
      <w:pPr>
        <w:pStyle w:val="EndnoteText"/>
        <w:contextualSpacing/>
        <w:rPr>
          <w:rFonts w:cs="Arial"/>
          <w:sz w:val="18"/>
          <w:szCs w:val="18"/>
          <w:lang w:val="en-US"/>
        </w:rPr>
      </w:pPr>
    </w:p>
    <w:p w14:paraId="43623AFB" w14:textId="77777777" w:rsidR="00FE5F1E" w:rsidRPr="009E0641" w:rsidRDefault="00FE5F1E" w:rsidP="009E0641">
      <w:pPr>
        <w:contextualSpacing/>
        <w:rPr>
          <w:rFonts w:cs="Arial"/>
          <w:sz w:val="18"/>
          <w:szCs w:val="18"/>
          <w:lang w:val="en-US"/>
        </w:rPr>
      </w:pPr>
      <w:r w:rsidRPr="009E0641">
        <w:rPr>
          <w:rFonts w:cs="Arial"/>
          <w:b/>
          <w:sz w:val="18"/>
          <w:szCs w:val="18"/>
          <w:lang w:val="en-US"/>
        </w:rPr>
        <w:t>Stage One Calculations</w:t>
      </w:r>
      <w:r w:rsidRPr="009E0641">
        <w:rPr>
          <w:rFonts w:cs="Arial"/>
          <w:sz w:val="18"/>
          <w:szCs w:val="18"/>
          <w:lang w:val="en-US"/>
        </w:rPr>
        <w:t>:  Updated estimate of the number of people with a hearing loss in England based on ONS (2013) on mid-2011 population estimates.</w:t>
      </w:r>
    </w:p>
    <w:p w14:paraId="2A7D7B8A" w14:textId="77777777" w:rsidR="00D54F18" w:rsidRPr="009E0641" w:rsidRDefault="00D54F18" w:rsidP="009E0641">
      <w:pPr>
        <w:contextualSpacing/>
        <w:rPr>
          <w:rFonts w:cs="Arial"/>
          <w:sz w:val="18"/>
          <w:szCs w:val="18"/>
          <w:lang w:val="en-US"/>
        </w:rPr>
      </w:pPr>
    </w:p>
    <w:p w14:paraId="2AF91422" w14:textId="77777777" w:rsidR="00D54F18" w:rsidRPr="009E0641" w:rsidRDefault="00D54F18" w:rsidP="009E0641">
      <w:pPr>
        <w:contextualSpacing/>
        <w:rPr>
          <w:rFonts w:cs="Arial"/>
          <w:sz w:val="18"/>
          <w:szCs w:val="18"/>
          <w:lang w:val="en-US"/>
        </w:rPr>
      </w:pPr>
    </w:p>
    <w:p w14:paraId="30861C44" w14:textId="77777777" w:rsidR="00FE5F1E" w:rsidRPr="009E0641" w:rsidRDefault="00FE5F1E" w:rsidP="009E0641">
      <w:pPr>
        <w:contextualSpacing/>
        <w:rPr>
          <w:rFonts w:cs="Arial"/>
          <w:sz w:val="18"/>
          <w:szCs w:val="18"/>
          <w:lang w:val="en-US"/>
        </w:rPr>
      </w:pPr>
    </w:p>
    <w:tbl>
      <w:tblPr>
        <w:tblW w:w="7307" w:type="dxa"/>
        <w:tblInd w:w="108" w:type="dxa"/>
        <w:tblLayout w:type="fixed"/>
        <w:tblLook w:val="04A0" w:firstRow="1" w:lastRow="0" w:firstColumn="1" w:lastColumn="0" w:noHBand="0" w:noVBand="1"/>
      </w:tblPr>
      <w:tblGrid>
        <w:gridCol w:w="1257"/>
        <w:gridCol w:w="1493"/>
        <w:gridCol w:w="2409"/>
        <w:gridCol w:w="2148"/>
      </w:tblGrid>
      <w:tr w:rsidR="00FE5F1E" w:rsidRPr="009E0641" w14:paraId="461ED3BC" w14:textId="77777777" w:rsidTr="00E24E7C">
        <w:trPr>
          <w:trHeight w:val="320"/>
        </w:trPr>
        <w:tc>
          <w:tcPr>
            <w:tcW w:w="1257" w:type="dxa"/>
            <w:tcBorders>
              <w:top w:val="single" w:sz="4" w:space="0" w:color="auto"/>
              <w:left w:val="single" w:sz="4" w:space="0" w:color="auto"/>
              <w:bottom w:val="single" w:sz="4" w:space="0" w:color="auto"/>
              <w:right w:val="single" w:sz="4" w:space="0" w:color="FFFFFF" w:themeColor="background1"/>
            </w:tcBorders>
            <w:shd w:val="clear" w:color="auto" w:fill="FF6600"/>
            <w:noWrap/>
            <w:vAlign w:val="center"/>
            <w:hideMark/>
          </w:tcPr>
          <w:p w14:paraId="23F73439"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Age Group</w:t>
            </w:r>
          </w:p>
          <w:p w14:paraId="5D9B282D" w14:textId="77777777" w:rsidR="00FE5F1E" w:rsidRPr="009E0641" w:rsidRDefault="00FE5F1E" w:rsidP="009E0641">
            <w:pPr>
              <w:contextualSpacing/>
              <w:rPr>
                <w:rFonts w:cs="Arial"/>
                <w:bCs/>
                <w:color w:val="FFFFFF"/>
                <w:sz w:val="18"/>
                <w:szCs w:val="18"/>
              </w:rPr>
            </w:pPr>
          </w:p>
        </w:tc>
        <w:tc>
          <w:tcPr>
            <w:tcW w:w="1493" w:type="dxa"/>
            <w:tcBorders>
              <w:top w:val="single" w:sz="4" w:space="0" w:color="auto"/>
              <w:left w:val="single" w:sz="4" w:space="0" w:color="FFFFFF" w:themeColor="background1"/>
              <w:bottom w:val="single" w:sz="4" w:space="0" w:color="auto"/>
              <w:right w:val="single" w:sz="4" w:space="0" w:color="FFFFFF" w:themeColor="background1"/>
            </w:tcBorders>
            <w:shd w:val="clear" w:color="auto" w:fill="FF6600"/>
            <w:vAlign w:val="center"/>
          </w:tcPr>
          <w:p w14:paraId="24612C67"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Population</w:t>
            </w:r>
          </w:p>
          <w:p w14:paraId="3EF12E08" w14:textId="77777777" w:rsidR="00FE5F1E" w:rsidRPr="009E0641" w:rsidRDefault="00FE5F1E" w:rsidP="009E0641">
            <w:pPr>
              <w:contextualSpacing/>
              <w:jc w:val="center"/>
              <w:rPr>
                <w:rFonts w:cs="Arial"/>
                <w:bCs/>
                <w:color w:val="FFFFFF"/>
                <w:sz w:val="18"/>
                <w:szCs w:val="18"/>
              </w:rPr>
            </w:pPr>
          </w:p>
          <w:p w14:paraId="457FAEBD"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(A)</w:t>
            </w:r>
          </w:p>
        </w:tc>
        <w:tc>
          <w:tcPr>
            <w:tcW w:w="240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FF6600"/>
            <w:noWrap/>
            <w:vAlign w:val="center"/>
            <w:hideMark/>
          </w:tcPr>
          <w:p w14:paraId="4E5F6D97"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Prevalence %</w:t>
            </w:r>
          </w:p>
          <w:p w14:paraId="3DFC0708"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(95% confidence intervals)</w:t>
            </w:r>
          </w:p>
          <w:p w14:paraId="08A69B32"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(B)</w:t>
            </w:r>
          </w:p>
        </w:tc>
        <w:tc>
          <w:tcPr>
            <w:tcW w:w="2148" w:type="dxa"/>
            <w:tcBorders>
              <w:top w:val="single" w:sz="4" w:space="0" w:color="auto"/>
              <w:left w:val="single" w:sz="4" w:space="0" w:color="FFFFFF" w:themeColor="background1"/>
              <w:bottom w:val="single" w:sz="4" w:space="0" w:color="auto"/>
              <w:right w:val="single" w:sz="4" w:space="0" w:color="auto"/>
            </w:tcBorders>
            <w:shd w:val="clear" w:color="auto" w:fill="FF6600"/>
            <w:vAlign w:val="center"/>
            <w:hideMark/>
          </w:tcPr>
          <w:p w14:paraId="7A9C861B"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Number of People with a Hearing Loss</w:t>
            </w:r>
          </w:p>
          <w:p w14:paraId="61D1BBCF" w14:textId="77777777" w:rsidR="00FE5F1E" w:rsidRPr="009E0641" w:rsidRDefault="00FE5F1E" w:rsidP="009E0641">
            <w:pPr>
              <w:contextualSpacing/>
              <w:jc w:val="center"/>
              <w:rPr>
                <w:rFonts w:cs="Arial"/>
                <w:bCs/>
                <w:color w:val="FFFFFF"/>
                <w:sz w:val="18"/>
                <w:szCs w:val="18"/>
              </w:rPr>
            </w:pPr>
            <w:r w:rsidRPr="009E0641">
              <w:rPr>
                <w:rFonts w:cs="Arial"/>
                <w:bCs/>
                <w:color w:val="FFFFFF"/>
                <w:sz w:val="18"/>
                <w:szCs w:val="18"/>
              </w:rPr>
              <w:t xml:space="preserve">(A </w:t>
            </w:r>
            <w:r w:rsidRPr="009E0641">
              <w:rPr>
                <w:rFonts w:cs="Arial"/>
                <w:bCs/>
                <w:color w:val="FFFFFF"/>
                <w:sz w:val="18"/>
                <w:szCs w:val="18"/>
                <w:vertAlign w:val="subscript"/>
              </w:rPr>
              <w:t xml:space="preserve">* </w:t>
            </w:r>
            <w:r w:rsidRPr="009E0641">
              <w:rPr>
                <w:rFonts w:cs="Arial"/>
                <w:bCs/>
                <w:color w:val="FFFFFF"/>
                <w:sz w:val="18"/>
                <w:szCs w:val="18"/>
              </w:rPr>
              <w:t>B)</w:t>
            </w:r>
          </w:p>
        </w:tc>
      </w:tr>
      <w:tr w:rsidR="00FE5F1E" w:rsidRPr="009E0641" w14:paraId="7A57E926" w14:textId="77777777" w:rsidTr="00E24E7C">
        <w:trPr>
          <w:trHeight w:val="389"/>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D9D7A" w14:textId="77777777" w:rsidR="00FE5F1E" w:rsidRPr="009E0641" w:rsidRDefault="00FE5F1E" w:rsidP="009E0641">
            <w:pPr>
              <w:contextualSpacing/>
              <w:rPr>
                <w:rFonts w:cs="Arial"/>
                <w:color w:val="000000"/>
                <w:sz w:val="16"/>
                <w:szCs w:val="18"/>
              </w:rPr>
            </w:pPr>
            <w:r w:rsidRPr="009E0641">
              <w:rPr>
                <w:rFonts w:cs="Arial"/>
                <w:color w:val="000000"/>
                <w:sz w:val="16"/>
                <w:szCs w:val="18"/>
              </w:rPr>
              <w:t>0-16</w:t>
            </w:r>
          </w:p>
        </w:tc>
        <w:tc>
          <w:tcPr>
            <w:tcW w:w="1493" w:type="dxa"/>
            <w:tcBorders>
              <w:top w:val="single" w:sz="4" w:space="0" w:color="auto"/>
              <w:left w:val="single" w:sz="4" w:space="0" w:color="auto"/>
              <w:right w:val="single" w:sz="4" w:space="0" w:color="auto"/>
            </w:tcBorders>
            <w:shd w:val="clear" w:color="auto" w:fill="auto"/>
            <w:vAlign w:val="center"/>
          </w:tcPr>
          <w:p w14:paraId="4A7F246A"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10,673,755</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4E136"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0.33</w:t>
            </w:r>
            <w:r w:rsidRPr="009E0641">
              <w:rPr>
                <w:rFonts w:cs="Arial"/>
                <w:color w:val="000000"/>
                <w:sz w:val="16"/>
                <w:szCs w:val="18"/>
                <w:vertAlign w:val="superscript"/>
              </w:rPr>
              <w:t>1</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tcPr>
          <w:p w14:paraId="72607AE7"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35,000</w:t>
            </w:r>
          </w:p>
        </w:tc>
      </w:tr>
      <w:tr w:rsidR="00FE5F1E" w:rsidRPr="009E0641" w14:paraId="66841A09" w14:textId="77777777" w:rsidTr="00E24E7C">
        <w:trPr>
          <w:trHeight w:val="422"/>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98531D" w14:textId="77777777" w:rsidR="00FE5F1E" w:rsidRPr="009E0641" w:rsidRDefault="00FE5F1E" w:rsidP="009E0641">
            <w:pPr>
              <w:contextualSpacing/>
              <w:rPr>
                <w:rFonts w:cs="Arial"/>
                <w:color w:val="000000"/>
                <w:sz w:val="16"/>
                <w:szCs w:val="18"/>
              </w:rPr>
            </w:pPr>
            <w:r w:rsidRPr="009E0641">
              <w:rPr>
                <w:rFonts w:cs="Arial"/>
                <w:color w:val="000000"/>
                <w:sz w:val="16"/>
                <w:szCs w:val="18"/>
              </w:rPr>
              <w:t>17-30</w:t>
            </w:r>
          </w:p>
        </w:tc>
        <w:tc>
          <w:tcPr>
            <w:tcW w:w="1493" w:type="dxa"/>
            <w:tcBorders>
              <w:top w:val="single" w:sz="4" w:space="0" w:color="auto"/>
              <w:left w:val="single" w:sz="4" w:space="0" w:color="auto"/>
              <w:right w:val="single" w:sz="4" w:space="0" w:color="auto"/>
            </w:tcBorders>
            <w:shd w:val="clear" w:color="auto" w:fill="auto"/>
            <w:vAlign w:val="center"/>
          </w:tcPr>
          <w:p w14:paraId="03B94034"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10,032,199</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0B4FF"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1.8</w:t>
            </w:r>
          </w:p>
          <w:p w14:paraId="6B8C9DFC"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(0.7-2.9)</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5B66D"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180,580</w:t>
            </w:r>
          </w:p>
        </w:tc>
      </w:tr>
      <w:tr w:rsidR="00FE5F1E" w:rsidRPr="009E0641" w14:paraId="48D44830" w14:textId="77777777" w:rsidTr="00E24E7C">
        <w:trPr>
          <w:trHeight w:val="415"/>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7AC13" w14:textId="77777777" w:rsidR="00FE5F1E" w:rsidRPr="009E0641" w:rsidRDefault="00FE5F1E" w:rsidP="009E0641">
            <w:pPr>
              <w:contextualSpacing/>
              <w:rPr>
                <w:rFonts w:cs="Arial"/>
                <w:color w:val="000000"/>
                <w:sz w:val="16"/>
                <w:szCs w:val="18"/>
              </w:rPr>
            </w:pPr>
            <w:r w:rsidRPr="009E0641">
              <w:rPr>
                <w:rFonts w:cs="Arial"/>
                <w:color w:val="000000"/>
                <w:sz w:val="16"/>
                <w:szCs w:val="18"/>
              </w:rPr>
              <w:t>31-40</w:t>
            </w:r>
          </w:p>
        </w:tc>
        <w:tc>
          <w:tcPr>
            <w:tcW w:w="1493" w:type="dxa"/>
            <w:tcBorders>
              <w:top w:val="single" w:sz="4" w:space="0" w:color="auto"/>
              <w:left w:val="single" w:sz="4" w:space="0" w:color="auto"/>
              <w:right w:val="single" w:sz="4" w:space="0" w:color="auto"/>
            </w:tcBorders>
            <w:shd w:val="clear" w:color="auto" w:fill="auto"/>
            <w:vAlign w:val="center"/>
          </w:tcPr>
          <w:p w14:paraId="76C148D0"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7,088,145</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353C3"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2.8</w:t>
            </w:r>
          </w:p>
          <w:p w14:paraId="308157F3"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(1.2-4.4)</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7E5B5"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198,468</w:t>
            </w:r>
          </w:p>
        </w:tc>
      </w:tr>
      <w:tr w:rsidR="00FE5F1E" w:rsidRPr="009E0641" w14:paraId="65EFB3E9" w14:textId="77777777" w:rsidTr="00E24E7C">
        <w:trPr>
          <w:trHeight w:val="421"/>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247F6" w14:textId="77777777" w:rsidR="00FE5F1E" w:rsidRPr="009E0641" w:rsidRDefault="00FE5F1E" w:rsidP="009E0641">
            <w:pPr>
              <w:contextualSpacing/>
              <w:rPr>
                <w:rFonts w:cs="Arial"/>
                <w:color w:val="000000"/>
                <w:sz w:val="16"/>
                <w:szCs w:val="18"/>
              </w:rPr>
            </w:pPr>
            <w:r w:rsidRPr="009E0641">
              <w:rPr>
                <w:rFonts w:cs="Arial"/>
                <w:color w:val="000000"/>
                <w:sz w:val="16"/>
                <w:szCs w:val="18"/>
              </w:rPr>
              <w:t>41-50</w:t>
            </w:r>
          </w:p>
        </w:tc>
        <w:tc>
          <w:tcPr>
            <w:tcW w:w="1493" w:type="dxa"/>
            <w:tcBorders>
              <w:top w:val="single" w:sz="4" w:space="0" w:color="auto"/>
              <w:left w:val="single" w:sz="4" w:space="0" w:color="auto"/>
              <w:right w:val="single" w:sz="4" w:space="0" w:color="auto"/>
            </w:tcBorders>
            <w:shd w:val="clear" w:color="auto" w:fill="auto"/>
            <w:vAlign w:val="center"/>
          </w:tcPr>
          <w:p w14:paraId="0DEF58C6"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7,722,768</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D6472"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8.2</w:t>
            </w:r>
          </w:p>
          <w:p w14:paraId="12732BF4"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(6.1-10.3)</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9EE81"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633,267</w:t>
            </w:r>
          </w:p>
        </w:tc>
      </w:tr>
      <w:tr w:rsidR="00FE5F1E" w:rsidRPr="009E0641" w14:paraId="7104BD2D" w14:textId="77777777" w:rsidTr="00E24E7C">
        <w:trPr>
          <w:trHeight w:val="398"/>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5E4CF" w14:textId="77777777" w:rsidR="00FE5F1E" w:rsidRPr="009E0641" w:rsidRDefault="00FE5F1E" w:rsidP="009E0641">
            <w:pPr>
              <w:contextualSpacing/>
              <w:rPr>
                <w:rFonts w:cs="Arial"/>
                <w:color w:val="000000"/>
                <w:sz w:val="16"/>
                <w:szCs w:val="18"/>
              </w:rPr>
            </w:pPr>
            <w:r w:rsidRPr="009E0641">
              <w:rPr>
                <w:rFonts w:cs="Arial"/>
                <w:color w:val="000000"/>
                <w:sz w:val="16"/>
                <w:szCs w:val="18"/>
              </w:rPr>
              <w:t>51-60</w:t>
            </w:r>
          </w:p>
        </w:tc>
        <w:tc>
          <w:tcPr>
            <w:tcW w:w="1493" w:type="dxa"/>
            <w:tcBorders>
              <w:top w:val="single" w:sz="4" w:space="0" w:color="auto"/>
              <w:left w:val="single" w:sz="4" w:space="0" w:color="auto"/>
              <w:right w:val="single" w:sz="4" w:space="0" w:color="auto"/>
            </w:tcBorders>
            <w:shd w:val="clear" w:color="auto" w:fill="auto"/>
            <w:vAlign w:val="center"/>
          </w:tcPr>
          <w:p w14:paraId="23B7BA02"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6,284,198</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7AC47"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18.9</w:t>
            </w:r>
          </w:p>
          <w:p w14:paraId="5648F98E"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(16.1-21.7)</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AADA7"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1,187,713</w:t>
            </w:r>
          </w:p>
        </w:tc>
      </w:tr>
      <w:tr w:rsidR="00FE5F1E" w:rsidRPr="009E0641" w14:paraId="1A2664E2" w14:textId="77777777" w:rsidTr="00E24E7C">
        <w:trPr>
          <w:trHeight w:val="432"/>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A5B8F" w14:textId="77777777" w:rsidR="00FE5F1E" w:rsidRPr="009E0641" w:rsidRDefault="00FE5F1E" w:rsidP="009E0641">
            <w:pPr>
              <w:contextualSpacing/>
              <w:rPr>
                <w:rFonts w:cs="Arial"/>
                <w:color w:val="000000"/>
                <w:sz w:val="16"/>
                <w:szCs w:val="18"/>
              </w:rPr>
            </w:pPr>
            <w:r w:rsidRPr="009E0641">
              <w:rPr>
                <w:rFonts w:cs="Arial"/>
                <w:color w:val="000000"/>
                <w:sz w:val="16"/>
                <w:szCs w:val="18"/>
              </w:rPr>
              <w:t>61-70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CF772AA"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5,536,021</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6A4F2"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36.8</w:t>
            </w:r>
          </w:p>
          <w:p w14:paraId="2022B2CE"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(32.4-41.2)</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248F9"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2,037,256</w:t>
            </w:r>
          </w:p>
        </w:tc>
      </w:tr>
      <w:tr w:rsidR="00FE5F1E" w:rsidRPr="009E0641" w14:paraId="326B3AE1" w14:textId="77777777" w:rsidTr="00E24E7C">
        <w:trPr>
          <w:trHeight w:val="553"/>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8DF48" w14:textId="77777777" w:rsidR="00FE5F1E" w:rsidRPr="009E0641" w:rsidRDefault="00FE5F1E" w:rsidP="009E0641">
            <w:pPr>
              <w:contextualSpacing/>
              <w:rPr>
                <w:rFonts w:cs="Arial"/>
                <w:color w:val="000000"/>
                <w:sz w:val="16"/>
                <w:szCs w:val="18"/>
              </w:rPr>
            </w:pPr>
            <w:r w:rsidRPr="009E0641">
              <w:rPr>
                <w:rFonts w:cs="Arial"/>
                <w:color w:val="000000"/>
                <w:sz w:val="16"/>
                <w:szCs w:val="18"/>
              </w:rPr>
              <w:t>71-80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F9ABB4D"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3,606,835</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05343"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60.2</w:t>
            </w:r>
          </w:p>
          <w:p w14:paraId="63570675"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(53.0-67.5)</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F9D88"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2,171,315</w:t>
            </w:r>
          </w:p>
        </w:tc>
      </w:tr>
      <w:tr w:rsidR="00FE5F1E" w:rsidRPr="009E0641" w14:paraId="3D9F78FB" w14:textId="77777777" w:rsidTr="00886199">
        <w:trPr>
          <w:trHeight w:val="610"/>
        </w:trPr>
        <w:tc>
          <w:tcPr>
            <w:tcW w:w="12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EA6B9" w14:textId="77777777" w:rsidR="00FE5F1E" w:rsidRPr="009E0641" w:rsidRDefault="00FE5F1E" w:rsidP="009E0641">
            <w:pPr>
              <w:contextualSpacing/>
              <w:rPr>
                <w:rFonts w:cs="Arial"/>
                <w:color w:val="000000"/>
                <w:sz w:val="16"/>
                <w:szCs w:val="18"/>
              </w:rPr>
            </w:pPr>
            <w:r w:rsidRPr="009E0641">
              <w:rPr>
                <w:rFonts w:cs="Arial"/>
                <w:color w:val="000000"/>
                <w:sz w:val="16"/>
                <w:szCs w:val="18"/>
              </w:rPr>
              <w:t>&gt;80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B0EF101"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2,163,248</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09F7C"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93.4</w:t>
            </w:r>
          </w:p>
          <w:p w14:paraId="45333615"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(91.7-95.0)</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E9BE5"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2,020,474</w:t>
            </w:r>
          </w:p>
        </w:tc>
      </w:tr>
      <w:tr w:rsidR="00FE5F1E" w:rsidRPr="009E0641" w14:paraId="0B7625B9" w14:textId="77777777" w:rsidTr="00886199">
        <w:trPr>
          <w:trHeight w:val="610"/>
        </w:trPr>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9F11864" w14:textId="77777777" w:rsidR="00FE5F1E" w:rsidRPr="009E0641" w:rsidRDefault="00FE5F1E" w:rsidP="009E0641">
            <w:pPr>
              <w:contextualSpacing/>
              <w:rPr>
                <w:rFonts w:cs="Arial"/>
                <w:color w:val="000000"/>
                <w:sz w:val="16"/>
                <w:szCs w:val="18"/>
              </w:rPr>
            </w:pPr>
            <w:r w:rsidRPr="009E0641">
              <w:rPr>
                <w:rFonts w:cs="Arial"/>
                <w:color w:val="000000"/>
                <w:sz w:val="16"/>
                <w:szCs w:val="18"/>
              </w:rPr>
              <w:t>Total number of children with a hearing loss in England (</w:t>
            </w:r>
            <w:r w:rsidRPr="009E0641">
              <w:rPr>
                <w:rFonts w:cs="Arial"/>
                <w:b/>
                <w:color w:val="000000"/>
                <w:sz w:val="16"/>
                <w:szCs w:val="18"/>
              </w:rPr>
              <w:t>Source: White et al., 2013</w:t>
            </w:r>
            <w:r w:rsidRPr="009E0641">
              <w:rPr>
                <w:rFonts w:cs="Arial"/>
                <w:color w:val="000000"/>
                <w:sz w:val="16"/>
                <w:szCs w:val="18"/>
              </w:rPr>
              <w:t>)</w:t>
            </w:r>
          </w:p>
          <w:p w14:paraId="21417AB0" w14:textId="77777777" w:rsidR="00FE5F1E" w:rsidRPr="009E0641" w:rsidRDefault="00FE5F1E" w:rsidP="009E0641">
            <w:pPr>
              <w:contextualSpacing/>
              <w:rPr>
                <w:rFonts w:cs="Arial"/>
                <w:color w:val="000000"/>
                <w:sz w:val="16"/>
                <w:szCs w:val="18"/>
              </w:rPr>
            </w:pP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tcPr>
          <w:p w14:paraId="680C7AEA"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t>35,000</w:t>
            </w:r>
          </w:p>
          <w:p w14:paraId="41D46010" w14:textId="77777777" w:rsidR="00FE5F1E" w:rsidRPr="009E0641" w:rsidRDefault="00FE5F1E" w:rsidP="009E0641">
            <w:pPr>
              <w:contextualSpacing/>
              <w:rPr>
                <w:rFonts w:cs="Arial"/>
                <w:color w:val="000000"/>
                <w:sz w:val="16"/>
                <w:szCs w:val="18"/>
              </w:rPr>
            </w:pPr>
          </w:p>
        </w:tc>
      </w:tr>
      <w:tr w:rsidR="00FE5F1E" w:rsidRPr="009E0641" w14:paraId="0BD31209" w14:textId="77777777" w:rsidTr="00886199">
        <w:trPr>
          <w:trHeight w:val="610"/>
        </w:trPr>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E91F0DD" w14:textId="77777777" w:rsidR="00FE5F1E" w:rsidRPr="009E0641" w:rsidRDefault="00FE5F1E" w:rsidP="009E0641">
            <w:pPr>
              <w:contextualSpacing/>
              <w:rPr>
                <w:rFonts w:cs="Arial"/>
                <w:sz w:val="16"/>
                <w:szCs w:val="18"/>
              </w:rPr>
            </w:pPr>
            <w:r w:rsidRPr="009E0641">
              <w:rPr>
                <w:rFonts w:cs="Arial"/>
                <w:color w:val="000000"/>
                <w:sz w:val="16"/>
                <w:szCs w:val="18"/>
              </w:rPr>
              <w:t>Total number of adults (aged 17 and over) in England with a hearing of</w:t>
            </w:r>
            <w:r w:rsidRPr="009E0641">
              <w:rPr>
                <w:rFonts w:cs="Arial"/>
                <w:sz w:val="16"/>
                <w:szCs w:val="18"/>
              </w:rPr>
              <w:t xml:space="preserve"> impairment of ≥ 25 decibels in the better ear (</w:t>
            </w:r>
            <w:r w:rsidRPr="009E0641">
              <w:rPr>
                <w:rFonts w:cs="Arial"/>
                <w:b/>
                <w:sz w:val="16"/>
                <w:szCs w:val="18"/>
              </w:rPr>
              <w:t>Source: Davis, 1989; Davis, 1995, p.822</w:t>
            </w:r>
            <w:r w:rsidRPr="009E0641">
              <w:rPr>
                <w:rFonts w:cs="Arial"/>
                <w:sz w:val="16"/>
                <w:szCs w:val="18"/>
              </w:rPr>
              <w:t>)</w:t>
            </w:r>
          </w:p>
          <w:p w14:paraId="4FD23323" w14:textId="77777777" w:rsidR="00FE5F1E" w:rsidRPr="009E0641" w:rsidRDefault="00FE5F1E" w:rsidP="009E0641">
            <w:pPr>
              <w:contextualSpacing/>
              <w:rPr>
                <w:rFonts w:cs="Arial"/>
                <w:color w:val="000000"/>
                <w:sz w:val="16"/>
                <w:szCs w:val="18"/>
              </w:rPr>
            </w:pP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tcPr>
          <w:p w14:paraId="4E00B249" w14:textId="77777777" w:rsidR="00FE5F1E" w:rsidRPr="009E0641" w:rsidRDefault="00FE5F1E" w:rsidP="009E0641">
            <w:pPr>
              <w:contextualSpacing/>
              <w:jc w:val="center"/>
              <w:rPr>
                <w:rFonts w:cs="Arial"/>
                <w:color w:val="000000"/>
                <w:sz w:val="16"/>
                <w:szCs w:val="18"/>
              </w:rPr>
            </w:pPr>
            <w:r w:rsidRPr="009E0641">
              <w:rPr>
                <w:rFonts w:cs="Arial"/>
                <w:color w:val="000000"/>
                <w:sz w:val="16"/>
                <w:szCs w:val="18"/>
              </w:rPr>
              <w:fldChar w:fldCharType="begin"/>
            </w:r>
            <w:r w:rsidRPr="009E0641">
              <w:rPr>
                <w:rFonts w:cs="Arial"/>
                <w:color w:val="000000"/>
                <w:sz w:val="16"/>
                <w:szCs w:val="18"/>
              </w:rPr>
              <w:instrText xml:space="preserve"> =SUM(ABOVE) </w:instrText>
            </w:r>
            <w:r w:rsidRPr="009E0641">
              <w:rPr>
                <w:rFonts w:cs="Arial"/>
                <w:color w:val="000000"/>
                <w:sz w:val="16"/>
                <w:szCs w:val="18"/>
              </w:rPr>
              <w:fldChar w:fldCharType="separate"/>
            </w:r>
            <w:r w:rsidRPr="009E0641">
              <w:rPr>
                <w:rFonts w:cs="Arial"/>
                <w:noProof/>
                <w:color w:val="000000"/>
                <w:sz w:val="16"/>
                <w:szCs w:val="18"/>
              </w:rPr>
              <w:t>8,499,073</w:t>
            </w:r>
            <w:r w:rsidRPr="009E0641">
              <w:rPr>
                <w:rFonts w:cs="Arial"/>
                <w:color w:val="000000"/>
                <w:sz w:val="16"/>
                <w:szCs w:val="18"/>
              </w:rPr>
              <w:fldChar w:fldCharType="end"/>
            </w:r>
          </w:p>
          <w:p w14:paraId="0BC47BEE" w14:textId="77777777" w:rsidR="00FE5F1E" w:rsidRPr="009E0641" w:rsidRDefault="00FE5F1E" w:rsidP="009E0641">
            <w:pPr>
              <w:contextualSpacing/>
              <w:rPr>
                <w:rFonts w:cs="Arial"/>
                <w:color w:val="000000"/>
                <w:sz w:val="16"/>
                <w:szCs w:val="18"/>
              </w:rPr>
            </w:pPr>
          </w:p>
        </w:tc>
      </w:tr>
      <w:tr w:rsidR="00FE5F1E" w:rsidRPr="009E0641" w14:paraId="3D7D4A14" w14:textId="77777777" w:rsidTr="00886199">
        <w:trPr>
          <w:trHeight w:val="610"/>
        </w:trPr>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B679C11" w14:textId="77777777" w:rsidR="00FE5F1E" w:rsidRPr="009E0641" w:rsidRDefault="00FE5F1E" w:rsidP="009E0641">
            <w:pPr>
              <w:contextualSpacing/>
              <w:rPr>
                <w:rFonts w:cs="Arial"/>
                <w:b/>
                <w:color w:val="000000"/>
                <w:sz w:val="18"/>
                <w:szCs w:val="18"/>
              </w:rPr>
            </w:pPr>
            <w:r w:rsidRPr="009E0641">
              <w:rPr>
                <w:rFonts w:cs="Arial"/>
                <w:b/>
                <w:color w:val="000000"/>
                <w:sz w:val="18"/>
                <w:szCs w:val="18"/>
              </w:rPr>
              <w:t>Total number of people with a hearing loss in England</w:t>
            </w:r>
          </w:p>
        </w:tc>
        <w:tc>
          <w:tcPr>
            <w:tcW w:w="2148" w:type="dxa"/>
            <w:tcBorders>
              <w:top w:val="single" w:sz="4" w:space="0" w:color="auto"/>
              <w:left w:val="single" w:sz="4" w:space="0" w:color="auto"/>
              <w:bottom w:val="single" w:sz="4" w:space="0" w:color="auto"/>
              <w:right w:val="single" w:sz="4" w:space="0" w:color="auto"/>
            </w:tcBorders>
            <w:shd w:val="clear" w:color="auto" w:fill="auto"/>
            <w:vAlign w:val="center"/>
          </w:tcPr>
          <w:p w14:paraId="10DB05E1" w14:textId="77777777" w:rsidR="00FE5F1E" w:rsidRPr="009E0641" w:rsidRDefault="00FE5F1E" w:rsidP="009E0641">
            <w:pPr>
              <w:contextualSpacing/>
              <w:jc w:val="center"/>
              <w:rPr>
                <w:rFonts w:cs="Arial"/>
                <w:b/>
                <w:color w:val="000000"/>
                <w:sz w:val="18"/>
                <w:szCs w:val="18"/>
              </w:rPr>
            </w:pPr>
            <w:r w:rsidRPr="009E0641">
              <w:rPr>
                <w:rFonts w:cs="Arial"/>
                <w:b/>
                <w:color w:val="000000"/>
                <w:sz w:val="18"/>
                <w:szCs w:val="18"/>
              </w:rPr>
              <w:t>8,534,073</w:t>
            </w:r>
          </w:p>
        </w:tc>
      </w:tr>
    </w:tbl>
    <w:p w14:paraId="0A8FA3BB" w14:textId="77777777" w:rsidR="00FE5F1E" w:rsidRPr="009E0641" w:rsidRDefault="00FE5F1E" w:rsidP="009E0641">
      <w:pPr>
        <w:contextualSpacing/>
        <w:rPr>
          <w:rFonts w:cs="Arial"/>
          <w:sz w:val="18"/>
          <w:szCs w:val="18"/>
          <w:lang w:val="en-US"/>
        </w:rPr>
      </w:pPr>
      <w:r w:rsidRPr="009E0641">
        <w:rPr>
          <w:rFonts w:cs="Arial"/>
          <w:sz w:val="18"/>
          <w:szCs w:val="18"/>
          <w:vertAlign w:val="superscript"/>
          <w:lang w:val="en-US"/>
        </w:rPr>
        <w:t>1</w:t>
      </w:r>
      <w:r w:rsidRPr="009E0641">
        <w:rPr>
          <w:rFonts w:cs="Arial"/>
          <w:sz w:val="18"/>
          <w:szCs w:val="18"/>
          <w:lang w:val="en-US"/>
        </w:rPr>
        <w:t>Based on 35,000 children in England having a hearing loss (White et al., 2013) and the population of people aged ≤16 being 10,673,755 (ONS, 2013)</w:t>
      </w:r>
    </w:p>
    <w:p w14:paraId="4388F4D5" w14:textId="77777777" w:rsidR="00FE5F1E" w:rsidRPr="009E0641" w:rsidRDefault="00FE5F1E" w:rsidP="009E0641">
      <w:pPr>
        <w:contextualSpacing/>
        <w:rPr>
          <w:rFonts w:cs="Arial"/>
          <w:sz w:val="18"/>
          <w:szCs w:val="18"/>
          <w:lang w:val="en-US"/>
        </w:rPr>
      </w:pPr>
    </w:p>
    <w:p w14:paraId="7825562F" w14:textId="77777777" w:rsidR="00FE5F1E" w:rsidRPr="009E0641" w:rsidRDefault="00FE5F1E" w:rsidP="009E0641">
      <w:pPr>
        <w:contextualSpacing/>
        <w:rPr>
          <w:rFonts w:cs="Arial"/>
          <w:sz w:val="18"/>
          <w:szCs w:val="18"/>
          <w:lang w:val="en-US"/>
        </w:rPr>
      </w:pPr>
    </w:p>
    <w:p w14:paraId="4B683BDD" w14:textId="77777777" w:rsidR="00FE5F1E" w:rsidRPr="009E0641" w:rsidRDefault="00FE5F1E" w:rsidP="009E0641">
      <w:pPr>
        <w:contextualSpacing/>
        <w:rPr>
          <w:rFonts w:cs="Arial"/>
          <w:sz w:val="18"/>
          <w:szCs w:val="18"/>
          <w:lang w:val="en-US"/>
        </w:rPr>
      </w:pPr>
      <w:r w:rsidRPr="009E0641">
        <w:rPr>
          <w:rFonts w:cs="Arial"/>
          <w:b/>
          <w:sz w:val="18"/>
          <w:szCs w:val="18"/>
          <w:lang w:val="en-US"/>
        </w:rPr>
        <w:t>Stage Two Calculations</w:t>
      </w:r>
      <w:r w:rsidRPr="009E0641">
        <w:rPr>
          <w:rFonts w:cs="Arial"/>
          <w:sz w:val="18"/>
          <w:szCs w:val="18"/>
          <w:lang w:val="en-US"/>
        </w:rPr>
        <w:t>: Estimated number of people with a hearing loss in England that can be managed effectively by an audiologist without referral to ENT.</w:t>
      </w:r>
    </w:p>
    <w:p w14:paraId="78CD719C" w14:textId="77777777" w:rsidR="00FE5F1E" w:rsidRPr="009E0641" w:rsidRDefault="00FE5F1E" w:rsidP="009E0641">
      <w:pPr>
        <w:contextualSpacing/>
        <w:rPr>
          <w:rFonts w:cs="Arial"/>
          <w:sz w:val="18"/>
          <w:szCs w:val="18"/>
          <w:u w:val="single"/>
        </w:rPr>
      </w:pPr>
    </w:p>
    <w:tbl>
      <w:tblPr>
        <w:tblW w:w="8946" w:type="dxa"/>
        <w:tblInd w:w="93" w:type="dxa"/>
        <w:tblLayout w:type="fixed"/>
        <w:tblLook w:val="04A0" w:firstRow="1" w:lastRow="0" w:firstColumn="1" w:lastColumn="0" w:noHBand="0" w:noVBand="1"/>
      </w:tblPr>
      <w:tblGrid>
        <w:gridCol w:w="4126"/>
        <w:gridCol w:w="1417"/>
        <w:gridCol w:w="429"/>
        <w:gridCol w:w="2974"/>
      </w:tblGrid>
      <w:tr w:rsidR="00FE5F1E" w:rsidRPr="009E0641" w14:paraId="4FCB8EFA" w14:textId="77777777" w:rsidTr="00DD62B7">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FF6600"/>
            <w:noWrap/>
          </w:tcPr>
          <w:p w14:paraId="7C8C7630" w14:textId="77777777" w:rsidR="00FE5F1E" w:rsidRPr="009E0641" w:rsidRDefault="00FE5F1E" w:rsidP="009E0641">
            <w:pPr>
              <w:contextualSpacing/>
              <w:jc w:val="center"/>
              <w:rPr>
                <w:rFonts w:cs="Arial"/>
                <w:color w:val="FFFFFF" w:themeColor="background1"/>
                <w:sz w:val="18"/>
                <w:szCs w:val="18"/>
              </w:rPr>
            </w:pPr>
            <w:r w:rsidRPr="009E0641">
              <w:rPr>
                <w:rFonts w:cs="Arial"/>
                <w:color w:val="FFFFFF" w:themeColor="background1"/>
                <w:sz w:val="18"/>
                <w:szCs w:val="18"/>
              </w:rPr>
              <w:t>Description</w:t>
            </w:r>
          </w:p>
        </w:tc>
        <w:tc>
          <w:tcPr>
            <w:tcW w:w="1846" w:type="dxa"/>
            <w:gridSpan w:val="2"/>
            <w:tcBorders>
              <w:top w:val="single" w:sz="4" w:space="0" w:color="auto"/>
              <w:left w:val="single" w:sz="4" w:space="0" w:color="auto"/>
              <w:bottom w:val="single" w:sz="4" w:space="0" w:color="auto"/>
              <w:right w:val="single" w:sz="4" w:space="0" w:color="auto"/>
            </w:tcBorders>
            <w:shd w:val="clear" w:color="auto" w:fill="FF6600"/>
            <w:noWrap/>
          </w:tcPr>
          <w:p w14:paraId="339F0DD8" w14:textId="77777777" w:rsidR="00FE5F1E" w:rsidRPr="009E0641" w:rsidRDefault="00FE5F1E" w:rsidP="009E0641">
            <w:pPr>
              <w:contextualSpacing/>
              <w:jc w:val="center"/>
              <w:rPr>
                <w:rFonts w:cs="Arial"/>
                <w:color w:val="FFFFFF" w:themeColor="background1"/>
                <w:sz w:val="18"/>
                <w:szCs w:val="18"/>
              </w:rPr>
            </w:pPr>
            <w:r w:rsidRPr="009E0641">
              <w:rPr>
                <w:rFonts w:cs="Arial"/>
                <w:color w:val="FFFFFF" w:themeColor="background1"/>
                <w:sz w:val="18"/>
                <w:szCs w:val="18"/>
              </w:rPr>
              <w:t xml:space="preserve">Population </w:t>
            </w:r>
          </w:p>
          <w:p w14:paraId="77E2DB6D" w14:textId="77777777" w:rsidR="00FE5F1E" w:rsidRPr="009E0641" w:rsidRDefault="00FE5F1E" w:rsidP="009E0641">
            <w:pPr>
              <w:contextualSpacing/>
              <w:jc w:val="center"/>
              <w:rPr>
                <w:rFonts w:cs="Arial"/>
                <w:color w:val="FFFFFF" w:themeColor="background1"/>
                <w:sz w:val="18"/>
                <w:szCs w:val="18"/>
              </w:rPr>
            </w:pPr>
            <w:r w:rsidRPr="009E0641">
              <w:rPr>
                <w:rFonts w:cs="Arial"/>
                <w:color w:val="FFFFFF" w:themeColor="background1"/>
                <w:sz w:val="18"/>
                <w:szCs w:val="18"/>
              </w:rPr>
              <w:t>(Prevalence %)</w:t>
            </w:r>
          </w:p>
        </w:tc>
        <w:tc>
          <w:tcPr>
            <w:tcW w:w="2974" w:type="dxa"/>
            <w:tcBorders>
              <w:top w:val="single" w:sz="4" w:space="0" w:color="auto"/>
              <w:left w:val="single" w:sz="4" w:space="0" w:color="auto"/>
              <w:bottom w:val="single" w:sz="4" w:space="0" w:color="auto"/>
              <w:right w:val="single" w:sz="4" w:space="0" w:color="auto"/>
            </w:tcBorders>
            <w:shd w:val="clear" w:color="auto" w:fill="FF6600"/>
          </w:tcPr>
          <w:p w14:paraId="5508DB22" w14:textId="77777777" w:rsidR="00FE5F1E" w:rsidRPr="009E0641" w:rsidRDefault="00FE5F1E" w:rsidP="009E0641">
            <w:pPr>
              <w:contextualSpacing/>
              <w:jc w:val="center"/>
              <w:rPr>
                <w:rFonts w:cs="Arial"/>
                <w:color w:val="FFFFFF" w:themeColor="background1"/>
                <w:sz w:val="18"/>
                <w:szCs w:val="18"/>
              </w:rPr>
            </w:pPr>
            <w:r w:rsidRPr="009E0641">
              <w:rPr>
                <w:rFonts w:cs="Arial"/>
                <w:color w:val="FFFFFF" w:themeColor="background1"/>
                <w:sz w:val="18"/>
                <w:szCs w:val="18"/>
              </w:rPr>
              <w:t>Reference(s)</w:t>
            </w:r>
          </w:p>
        </w:tc>
      </w:tr>
      <w:tr w:rsidR="00FE5F1E" w:rsidRPr="009E0641" w14:paraId="2DD966FD" w14:textId="77777777" w:rsidTr="009F423E">
        <w:trPr>
          <w:trHeight w:val="700"/>
        </w:trPr>
        <w:tc>
          <w:tcPr>
            <w:tcW w:w="4126" w:type="dxa"/>
            <w:tcBorders>
              <w:top w:val="single" w:sz="4" w:space="0" w:color="auto"/>
              <w:left w:val="single" w:sz="4" w:space="0" w:color="auto"/>
              <w:right w:val="single" w:sz="4" w:space="0" w:color="auto"/>
            </w:tcBorders>
            <w:shd w:val="clear" w:color="auto" w:fill="auto"/>
            <w:noWrap/>
          </w:tcPr>
          <w:p w14:paraId="4F38EEAD" w14:textId="77777777" w:rsidR="00FE5F1E" w:rsidRPr="009E0641" w:rsidRDefault="00FE5F1E" w:rsidP="009E0641">
            <w:pPr>
              <w:ind w:left="-93"/>
              <w:contextualSpacing/>
              <w:rPr>
                <w:rFonts w:cs="Arial"/>
                <w:sz w:val="18"/>
                <w:szCs w:val="18"/>
              </w:rPr>
            </w:pPr>
            <w:r w:rsidRPr="009E0641">
              <w:rPr>
                <w:rFonts w:cs="Arial"/>
                <w:sz w:val="18"/>
                <w:szCs w:val="18"/>
              </w:rPr>
              <w:t>Number of people aged ≥55 in England</w:t>
            </w:r>
            <w:r w:rsidRPr="009E0641">
              <w:rPr>
                <w:rFonts w:cs="Arial"/>
                <w:sz w:val="18"/>
                <w:szCs w:val="18"/>
                <w:vertAlign w:val="superscript"/>
              </w:rPr>
              <w:t>1</w:t>
            </w:r>
          </w:p>
          <w:p w14:paraId="5629453A" w14:textId="77777777" w:rsidR="00FE5F1E" w:rsidRPr="009E0641" w:rsidRDefault="00FE5F1E" w:rsidP="009E0641">
            <w:pPr>
              <w:contextualSpacing/>
              <w:rPr>
                <w:rFonts w:cs="Arial"/>
                <w:b/>
                <w:sz w:val="18"/>
                <w:szCs w:val="18"/>
              </w:rPr>
            </w:pPr>
          </w:p>
        </w:tc>
        <w:tc>
          <w:tcPr>
            <w:tcW w:w="1417" w:type="dxa"/>
            <w:tcBorders>
              <w:top w:val="single" w:sz="4" w:space="0" w:color="auto"/>
              <w:left w:val="single" w:sz="4" w:space="0" w:color="auto"/>
              <w:right w:val="single" w:sz="4" w:space="0" w:color="auto"/>
            </w:tcBorders>
            <w:shd w:val="clear" w:color="auto" w:fill="auto"/>
            <w:noWrap/>
          </w:tcPr>
          <w:p w14:paraId="0851AEDF" w14:textId="77777777" w:rsidR="00FE5F1E" w:rsidRPr="009E0641" w:rsidRDefault="00FE5F1E" w:rsidP="009E0641">
            <w:pPr>
              <w:contextualSpacing/>
              <w:jc w:val="center"/>
              <w:rPr>
                <w:rFonts w:cs="Arial"/>
                <w:color w:val="000000"/>
                <w:sz w:val="18"/>
                <w:szCs w:val="18"/>
              </w:rPr>
            </w:pPr>
            <w:r w:rsidRPr="009E0641">
              <w:rPr>
                <w:rFonts w:cs="Arial"/>
                <w:color w:val="000000"/>
                <w:sz w:val="18"/>
                <w:szCs w:val="18"/>
              </w:rPr>
              <w:t>14,895,459</w:t>
            </w:r>
          </w:p>
          <w:p w14:paraId="40AE4A99" w14:textId="77777777" w:rsidR="00FE5F1E" w:rsidRPr="009E0641" w:rsidRDefault="00FE5F1E" w:rsidP="009E0641">
            <w:pPr>
              <w:contextualSpacing/>
              <w:jc w:val="center"/>
              <w:rPr>
                <w:rFonts w:cs="Arial"/>
                <w:b/>
                <w:color w:val="000000"/>
                <w:sz w:val="18"/>
                <w:szCs w:val="18"/>
              </w:rPr>
            </w:pPr>
            <w:r w:rsidRPr="009E0641">
              <w:rPr>
                <w:rFonts w:cs="Arial"/>
                <w:color w:val="000000"/>
                <w:sz w:val="18"/>
                <w:szCs w:val="18"/>
              </w:rPr>
              <w:t>(NA)</w:t>
            </w:r>
          </w:p>
        </w:tc>
        <w:tc>
          <w:tcPr>
            <w:tcW w:w="429" w:type="dxa"/>
            <w:tcBorders>
              <w:top w:val="single" w:sz="4" w:space="0" w:color="auto"/>
              <w:left w:val="single" w:sz="4" w:space="0" w:color="auto"/>
              <w:right w:val="single" w:sz="4" w:space="0" w:color="auto"/>
            </w:tcBorders>
            <w:shd w:val="clear" w:color="auto" w:fill="auto"/>
          </w:tcPr>
          <w:p w14:paraId="7970A226" w14:textId="77777777" w:rsidR="00FE5F1E" w:rsidRPr="009E0641" w:rsidRDefault="00FE5F1E" w:rsidP="009E0641">
            <w:pPr>
              <w:contextualSpacing/>
              <w:jc w:val="center"/>
              <w:rPr>
                <w:rFonts w:cs="Arial"/>
                <w:color w:val="000000"/>
                <w:sz w:val="18"/>
                <w:szCs w:val="18"/>
              </w:rPr>
            </w:pPr>
            <w:r w:rsidRPr="009E0641">
              <w:rPr>
                <w:rFonts w:cs="Arial"/>
                <w:color w:val="000000"/>
                <w:sz w:val="18"/>
                <w:szCs w:val="18"/>
              </w:rPr>
              <w:t>A</w:t>
            </w:r>
          </w:p>
          <w:p w14:paraId="71099273" w14:textId="77777777" w:rsidR="00FE5F1E" w:rsidRPr="009E0641" w:rsidRDefault="00FE5F1E" w:rsidP="009E0641">
            <w:pPr>
              <w:contextualSpacing/>
              <w:jc w:val="center"/>
              <w:rPr>
                <w:rFonts w:cs="Arial"/>
                <w:color w:val="000000"/>
                <w:sz w:val="18"/>
                <w:szCs w:val="18"/>
              </w:rPr>
            </w:pPr>
          </w:p>
        </w:tc>
        <w:tc>
          <w:tcPr>
            <w:tcW w:w="2974" w:type="dxa"/>
            <w:tcBorders>
              <w:top w:val="single" w:sz="4" w:space="0" w:color="auto"/>
              <w:left w:val="single" w:sz="4" w:space="0" w:color="auto"/>
              <w:right w:val="single" w:sz="4" w:space="0" w:color="auto"/>
            </w:tcBorders>
          </w:tcPr>
          <w:p w14:paraId="17442F5B" w14:textId="77777777" w:rsidR="00FE5F1E" w:rsidRPr="009E0641" w:rsidRDefault="00FE5F1E" w:rsidP="009E0641">
            <w:pPr>
              <w:contextualSpacing/>
              <w:rPr>
                <w:rFonts w:cs="Arial"/>
                <w:sz w:val="18"/>
                <w:szCs w:val="18"/>
              </w:rPr>
            </w:pPr>
            <w:r w:rsidRPr="009E0641">
              <w:rPr>
                <w:rFonts w:cs="Arial"/>
                <w:sz w:val="18"/>
                <w:szCs w:val="18"/>
              </w:rPr>
              <w:t>(ONS, 2013)</w:t>
            </w:r>
          </w:p>
        </w:tc>
      </w:tr>
      <w:tr w:rsidR="00FE5F1E" w:rsidRPr="009E0641" w14:paraId="42D76CA9" w14:textId="77777777" w:rsidTr="009F423E">
        <w:trPr>
          <w:trHeight w:val="1024"/>
        </w:trPr>
        <w:tc>
          <w:tcPr>
            <w:tcW w:w="4126" w:type="dxa"/>
            <w:tcBorders>
              <w:top w:val="single" w:sz="4" w:space="0" w:color="auto"/>
              <w:left w:val="single" w:sz="4" w:space="0" w:color="auto"/>
              <w:bottom w:val="single" w:sz="4" w:space="0" w:color="auto"/>
              <w:right w:val="single" w:sz="4" w:space="0" w:color="auto"/>
            </w:tcBorders>
            <w:shd w:val="clear" w:color="auto" w:fill="auto"/>
            <w:noWrap/>
          </w:tcPr>
          <w:p w14:paraId="0850C2D8" w14:textId="77777777" w:rsidR="00FE5F1E" w:rsidRPr="009E0641" w:rsidRDefault="00FE5F1E" w:rsidP="009E0641">
            <w:pPr>
              <w:ind w:left="-93"/>
              <w:contextualSpacing/>
              <w:rPr>
                <w:rFonts w:cs="Arial"/>
                <w:sz w:val="18"/>
                <w:szCs w:val="18"/>
              </w:rPr>
            </w:pPr>
            <w:r w:rsidRPr="009E0641">
              <w:rPr>
                <w:rFonts w:cs="Arial"/>
                <w:sz w:val="18"/>
                <w:szCs w:val="18"/>
              </w:rPr>
              <w:t xml:space="preserve">Estimated number of people aged ≥55 with at least a mild hearing loss (≥25dB) in the better ear. </w:t>
            </w:r>
          </w:p>
          <w:p w14:paraId="1D4F7E29" w14:textId="77777777" w:rsidR="00FE5F1E" w:rsidRPr="009E0641" w:rsidRDefault="00FE5F1E" w:rsidP="009E0641">
            <w:pPr>
              <w:ind w:left="-93"/>
              <w:contextualSpacing/>
              <w:rPr>
                <w:rFonts w:cs="Arial"/>
                <w:sz w:val="18"/>
                <w:szCs w:val="18"/>
              </w:rPr>
            </w:pPr>
          </w:p>
          <w:p w14:paraId="0DA7AC63" w14:textId="77777777" w:rsidR="00FE5F1E" w:rsidRPr="009E0641" w:rsidRDefault="00FE5F1E" w:rsidP="009E0641">
            <w:pPr>
              <w:ind w:left="-93"/>
              <w:contextualSpacing/>
              <w:rPr>
                <w:rFonts w:cs="Arial"/>
                <w:sz w:val="18"/>
                <w:szCs w:val="18"/>
              </w:rPr>
            </w:pPr>
            <w:r w:rsidRPr="009E0641">
              <w:rPr>
                <w:rFonts w:cs="Arial"/>
                <w:sz w:val="18"/>
                <w:szCs w:val="18"/>
              </w:rPr>
              <w:t>People aged ≥55</w:t>
            </w:r>
            <w:r w:rsidRPr="009E0641">
              <w:rPr>
                <w:rFonts w:cs="Arial"/>
                <w:sz w:val="18"/>
                <w:szCs w:val="18"/>
                <w:vertAlign w:val="superscript"/>
              </w:rPr>
              <w:t>1</w:t>
            </w:r>
            <w:r w:rsidRPr="009E0641">
              <w:rPr>
                <w:rFonts w:cs="Arial"/>
                <w:sz w:val="18"/>
                <w:szCs w:val="18"/>
              </w:rPr>
              <w:t xml:space="preserve"> are eligible for accessing NHS audiology without ENT review.</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48CFBFF" w14:textId="77777777" w:rsidR="00FE5F1E" w:rsidRPr="009E0641" w:rsidRDefault="00FE5F1E" w:rsidP="009E0641">
            <w:pPr>
              <w:contextualSpacing/>
              <w:jc w:val="center"/>
              <w:rPr>
                <w:rFonts w:cs="Arial"/>
                <w:sz w:val="18"/>
                <w:szCs w:val="18"/>
              </w:rPr>
            </w:pPr>
            <w:r w:rsidRPr="009E0641">
              <w:rPr>
                <w:rFonts w:cs="Arial"/>
                <w:sz w:val="18"/>
                <w:szCs w:val="18"/>
              </w:rPr>
              <w:t>6,907,432</w:t>
            </w:r>
          </w:p>
          <w:p w14:paraId="5FAC6204" w14:textId="77777777" w:rsidR="00FE5F1E" w:rsidRPr="009E0641" w:rsidRDefault="00FE5F1E" w:rsidP="009E0641">
            <w:pPr>
              <w:contextualSpacing/>
              <w:jc w:val="center"/>
              <w:rPr>
                <w:rFonts w:cs="Arial"/>
                <w:sz w:val="18"/>
                <w:szCs w:val="18"/>
              </w:rPr>
            </w:pPr>
            <w:r w:rsidRPr="009E0641">
              <w:rPr>
                <w:rFonts w:cs="Arial"/>
                <w:sz w:val="18"/>
                <w:szCs w:val="18"/>
              </w:rPr>
              <w:t>(46%)</w:t>
            </w:r>
          </w:p>
          <w:p w14:paraId="7339215F" w14:textId="77777777" w:rsidR="00FE5F1E" w:rsidRPr="009E0641" w:rsidRDefault="00FE5F1E" w:rsidP="009E0641">
            <w:pPr>
              <w:contextualSpacing/>
              <w:jc w:val="center"/>
              <w:rPr>
                <w:rFonts w:cs="Arial"/>
                <w:sz w:val="18"/>
                <w:szCs w:val="18"/>
              </w:rPr>
            </w:pPr>
          </w:p>
          <w:p w14:paraId="71C22542" w14:textId="77777777" w:rsidR="00FE5F1E" w:rsidRPr="009E0641" w:rsidRDefault="00FE5F1E" w:rsidP="009E0641">
            <w:pPr>
              <w:contextualSpacing/>
              <w:jc w:val="center"/>
              <w:rPr>
                <w:rFonts w:cs="Arial"/>
                <w:sz w:val="18"/>
                <w:szCs w:val="18"/>
              </w:rPr>
            </w:pPr>
            <w:r w:rsidRPr="009E0641">
              <w:rPr>
                <w:rFonts w:cs="Arial"/>
                <w:sz w:val="18"/>
                <w:szCs w:val="18"/>
              </w:rPr>
              <w:t>(Therefore 82% of the population with a hearing loss are age ≥55)</w:t>
            </w: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401C369C" w14:textId="77777777" w:rsidR="00FE5F1E" w:rsidRPr="009E0641" w:rsidRDefault="00FE5F1E" w:rsidP="009E0641">
            <w:pPr>
              <w:contextualSpacing/>
              <w:jc w:val="center"/>
              <w:rPr>
                <w:rFonts w:cs="Arial"/>
                <w:sz w:val="18"/>
                <w:szCs w:val="18"/>
              </w:rPr>
            </w:pPr>
            <w:r w:rsidRPr="009E0641">
              <w:rPr>
                <w:rFonts w:cs="Arial"/>
                <w:sz w:val="18"/>
                <w:szCs w:val="18"/>
              </w:rPr>
              <w:t>B</w:t>
            </w:r>
          </w:p>
          <w:p w14:paraId="1567CC3A"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4A128079" w14:textId="77777777" w:rsidR="00FE5F1E" w:rsidRPr="009E0641" w:rsidRDefault="00FE5F1E" w:rsidP="009E0641">
            <w:pPr>
              <w:contextualSpacing/>
              <w:rPr>
                <w:rFonts w:cs="Arial"/>
                <w:sz w:val="18"/>
                <w:szCs w:val="18"/>
              </w:rPr>
            </w:pPr>
            <w:r w:rsidRPr="009E0641">
              <w:rPr>
                <w:rFonts w:cs="Arial"/>
                <w:sz w:val="18"/>
                <w:szCs w:val="18"/>
              </w:rPr>
              <w:t>[ONS (2013) population estimates for each age group in England] multiplied by [prevalence in each age group (Davis, 1989; Davis, 1995, p.822]. Overall prevalence of mild loss (B/A*100)</w:t>
            </w:r>
          </w:p>
        </w:tc>
      </w:tr>
      <w:tr w:rsidR="00FE5F1E" w:rsidRPr="009E0641" w14:paraId="0089BD2E"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5D706CE7" w14:textId="77777777" w:rsidR="00FE5F1E" w:rsidRPr="009E0641" w:rsidRDefault="00FE5F1E" w:rsidP="009E0641">
            <w:pPr>
              <w:ind w:left="-93"/>
              <w:contextualSpacing/>
              <w:rPr>
                <w:rFonts w:cs="Arial"/>
                <w:sz w:val="18"/>
                <w:szCs w:val="18"/>
              </w:rPr>
            </w:pPr>
            <w:r w:rsidRPr="009E0641">
              <w:rPr>
                <w:rFonts w:cs="Arial"/>
                <w:sz w:val="18"/>
                <w:szCs w:val="18"/>
              </w:rPr>
              <w:t>Chronic otitis media (44,989 cases per 1 million)</w:t>
            </w:r>
            <w:r w:rsidRPr="009E0641">
              <w:rPr>
                <w:rFonts w:cs="Arial"/>
                <w:sz w:val="18"/>
                <w:szCs w:val="18"/>
                <w:vertAlign w:val="superscript"/>
              </w:rPr>
              <w:t xml:space="preserve"> 2 </w:t>
            </w:r>
            <w:r w:rsidRPr="009E0641">
              <w:rPr>
                <w:rFonts w:cs="Arial"/>
                <w:sz w:val="18"/>
                <w:szCs w:val="18"/>
              </w:rPr>
              <w:t>needs referral to ENT</w:t>
            </w:r>
          </w:p>
          <w:p w14:paraId="3D0ECE22" w14:textId="77777777" w:rsidR="00FE5F1E" w:rsidRPr="009E0641" w:rsidRDefault="00FE5F1E" w:rsidP="009E0641">
            <w:pPr>
              <w:ind w:left="-93"/>
              <w:contextualSpacing/>
              <w:rPr>
                <w:rFonts w:cs="Arial"/>
                <w:sz w:val="18"/>
                <w:szCs w:val="18"/>
                <w:vertAlign w:val="superscript"/>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C06BD9F" w14:textId="77777777" w:rsidR="00FE5F1E" w:rsidRPr="009E0641" w:rsidRDefault="00FE5F1E" w:rsidP="009E0641">
            <w:pPr>
              <w:contextualSpacing/>
              <w:jc w:val="center"/>
              <w:rPr>
                <w:rFonts w:cs="Arial"/>
                <w:sz w:val="18"/>
                <w:szCs w:val="18"/>
              </w:rPr>
            </w:pPr>
            <w:r w:rsidRPr="009E0641">
              <w:rPr>
                <w:rFonts w:cs="Arial"/>
                <w:sz w:val="18"/>
                <w:szCs w:val="18"/>
              </w:rPr>
              <w:t>670,132</w:t>
            </w:r>
          </w:p>
          <w:p w14:paraId="29A583B6" w14:textId="77777777" w:rsidR="00FE5F1E" w:rsidRPr="009E0641" w:rsidRDefault="00FE5F1E" w:rsidP="009E0641">
            <w:pPr>
              <w:contextualSpacing/>
              <w:jc w:val="center"/>
              <w:rPr>
                <w:rFonts w:cs="Arial"/>
                <w:sz w:val="18"/>
                <w:szCs w:val="18"/>
              </w:rPr>
            </w:pPr>
            <w:r w:rsidRPr="009E0641">
              <w:rPr>
                <w:rFonts w:cs="Arial"/>
                <w:sz w:val="18"/>
                <w:szCs w:val="18"/>
              </w:rPr>
              <w:t>(4.5%)</w:t>
            </w:r>
          </w:p>
          <w:p w14:paraId="4DBA95D6"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0A131FD7" w14:textId="77777777" w:rsidR="00FE5F1E" w:rsidRPr="009E0641" w:rsidRDefault="00FE5F1E" w:rsidP="009E0641">
            <w:pPr>
              <w:contextualSpacing/>
              <w:jc w:val="center"/>
              <w:rPr>
                <w:rFonts w:cs="Arial"/>
                <w:sz w:val="18"/>
                <w:szCs w:val="18"/>
              </w:rPr>
            </w:pPr>
            <w:r w:rsidRPr="009E0641">
              <w:rPr>
                <w:rFonts w:cs="Arial"/>
                <w:sz w:val="18"/>
                <w:szCs w:val="18"/>
              </w:rPr>
              <w:t>C</w:t>
            </w:r>
          </w:p>
          <w:p w14:paraId="1AB94091" w14:textId="77777777" w:rsidR="00FE5F1E" w:rsidRPr="009E0641" w:rsidRDefault="00FE5F1E" w:rsidP="009E0641">
            <w:pPr>
              <w:contextualSpacing/>
              <w:jc w:val="center"/>
              <w:rPr>
                <w:rFonts w:cs="Arial"/>
                <w:sz w:val="18"/>
                <w:szCs w:val="18"/>
              </w:rPr>
            </w:pPr>
          </w:p>
          <w:p w14:paraId="4FEEBCC3"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14CC66A0"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58AEF8E1"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3F2B31E7" w14:textId="77777777" w:rsidR="00FE5F1E" w:rsidRPr="009E0641" w:rsidRDefault="00FE5F1E" w:rsidP="009E0641">
            <w:pPr>
              <w:ind w:left="-93"/>
              <w:contextualSpacing/>
              <w:rPr>
                <w:rFonts w:cs="Arial"/>
                <w:sz w:val="18"/>
                <w:szCs w:val="18"/>
              </w:rPr>
            </w:pPr>
            <w:r w:rsidRPr="009E0641">
              <w:rPr>
                <w:rFonts w:cs="Arial"/>
                <w:sz w:val="18"/>
                <w:szCs w:val="18"/>
              </w:rPr>
              <w:t>Meniere’s disease</w:t>
            </w:r>
            <w:r w:rsidRPr="009E0641">
              <w:rPr>
                <w:rFonts w:cs="Arial"/>
                <w:sz w:val="18"/>
                <w:szCs w:val="18"/>
                <w:vertAlign w:val="superscript"/>
              </w:rPr>
              <w:t xml:space="preserve"> </w:t>
            </w:r>
            <w:r w:rsidRPr="009E0641">
              <w:rPr>
                <w:rFonts w:cs="Arial"/>
                <w:sz w:val="18"/>
                <w:szCs w:val="18"/>
              </w:rPr>
              <w:t>(1500 cases per 1 million)</w:t>
            </w:r>
            <w:r w:rsidRPr="009E0641">
              <w:rPr>
                <w:rFonts w:cs="Arial"/>
                <w:sz w:val="18"/>
                <w:szCs w:val="18"/>
                <w:vertAlign w:val="superscript"/>
              </w:rPr>
              <w:t xml:space="preserve"> 2 </w:t>
            </w:r>
            <w:r w:rsidRPr="009E0641">
              <w:rPr>
                <w:rFonts w:cs="Arial"/>
                <w:sz w:val="18"/>
                <w:szCs w:val="18"/>
              </w:rPr>
              <w:t>needs referral to ENT</w:t>
            </w:r>
          </w:p>
          <w:p w14:paraId="77263A7D"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09ED555" w14:textId="77777777" w:rsidR="00FE5F1E" w:rsidRPr="009E0641" w:rsidRDefault="00FE5F1E" w:rsidP="009E0641">
            <w:pPr>
              <w:contextualSpacing/>
              <w:jc w:val="center"/>
              <w:rPr>
                <w:rFonts w:cs="Arial"/>
                <w:sz w:val="18"/>
                <w:szCs w:val="18"/>
              </w:rPr>
            </w:pPr>
            <w:r w:rsidRPr="009E0641">
              <w:rPr>
                <w:rFonts w:cs="Arial"/>
                <w:sz w:val="18"/>
                <w:szCs w:val="18"/>
              </w:rPr>
              <w:t>22,343</w:t>
            </w:r>
          </w:p>
          <w:p w14:paraId="386AE489" w14:textId="77777777" w:rsidR="00FE5F1E" w:rsidRPr="009E0641" w:rsidRDefault="00FE5F1E" w:rsidP="009E0641">
            <w:pPr>
              <w:contextualSpacing/>
              <w:jc w:val="center"/>
              <w:rPr>
                <w:rFonts w:cs="Arial"/>
                <w:sz w:val="18"/>
                <w:szCs w:val="18"/>
              </w:rPr>
            </w:pPr>
            <w:r w:rsidRPr="009E0641">
              <w:rPr>
                <w:rFonts w:cs="Arial"/>
                <w:sz w:val="18"/>
                <w:szCs w:val="18"/>
              </w:rPr>
              <w:t>(0.15%)</w:t>
            </w:r>
          </w:p>
          <w:p w14:paraId="77CE409F"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3E920055" w14:textId="77777777" w:rsidR="00FE5F1E" w:rsidRPr="009E0641" w:rsidRDefault="00FE5F1E" w:rsidP="009E0641">
            <w:pPr>
              <w:contextualSpacing/>
              <w:jc w:val="center"/>
              <w:rPr>
                <w:rFonts w:cs="Arial"/>
                <w:sz w:val="18"/>
                <w:szCs w:val="18"/>
              </w:rPr>
            </w:pPr>
            <w:r w:rsidRPr="009E0641">
              <w:rPr>
                <w:rFonts w:cs="Arial"/>
                <w:sz w:val="18"/>
                <w:szCs w:val="18"/>
              </w:rPr>
              <w:t>D</w:t>
            </w:r>
          </w:p>
          <w:p w14:paraId="02239E5D" w14:textId="77777777" w:rsidR="00FE5F1E" w:rsidRPr="009E0641" w:rsidRDefault="00FE5F1E" w:rsidP="009E0641">
            <w:pPr>
              <w:contextualSpacing/>
              <w:jc w:val="center"/>
              <w:rPr>
                <w:rFonts w:cs="Arial"/>
                <w:sz w:val="18"/>
                <w:szCs w:val="18"/>
              </w:rPr>
            </w:pPr>
          </w:p>
          <w:p w14:paraId="2B7F1553"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4561EC31"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53DC9275"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4B8EAADA" w14:textId="77777777" w:rsidR="00FE5F1E" w:rsidRPr="009E0641" w:rsidRDefault="00FE5F1E" w:rsidP="009E0641">
            <w:pPr>
              <w:ind w:left="-93"/>
              <w:contextualSpacing/>
              <w:rPr>
                <w:rFonts w:cs="Arial"/>
                <w:sz w:val="18"/>
                <w:szCs w:val="18"/>
              </w:rPr>
            </w:pPr>
            <w:r w:rsidRPr="009E0641">
              <w:rPr>
                <w:rFonts w:cs="Arial"/>
                <w:sz w:val="18"/>
                <w:szCs w:val="18"/>
              </w:rPr>
              <w:t>Otosclerosis</w:t>
            </w:r>
            <w:r w:rsidRPr="009E0641">
              <w:rPr>
                <w:rFonts w:cs="Arial"/>
                <w:sz w:val="18"/>
                <w:szCs w:val="18"/>
                <w:vertAlign w:val="superscript"/>
              </w:rPr>
              <w:t xml:space="preserve"> </w:t>
            </w:r>
            <w:r w:rsidRPr="009E0641">
              <w:rPr>
                <w:rFonts w:cs="Arial"/>
                <w:sz w:val="18"/>
                <w:szCs w:val="18"/>
              </w:rPr>
              <w:t>(560 cases per 1 million)</w:t>
            </w:r>
            <w:r w:rsidRPr="009E0641">
              <w:rPr>
                <w:rFonts w:cs="Arial"/>
                <w:sz w:val="18"/>
                <w:szCs w:val="18"/>
                <w:vertAlign w:val="superscript"/>
              </w:rPr>
              <w:t xml:space="preserve"> 2 </w:t>
            </w:r>
            <w:r w:rsidRPr="009E0641">
              <w:rPr>
                <w:rFonts w:cs="Arial"/>
                <w:sz w:val="18"/>
                <w:szCs w:val="18"/>
              </w:rPr>
              <w:t>needs referral to ENT</w:t>
            </w:r>
          </w:p>
          <w:p w14:paraId="3B3D423D"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3822FE38" w14:textId="77777777" w:rsidR="00FE5F1E" w:rsidRPr="009E0641" w:rsidRDefault="00FE5F1E" w:rsidP="009E0641">
            <w:pPr>
              <w:contextualSpacing/>
              <w:jc w:val="center"/>
              <w:rPr>
                <w:rFonts w:cs="Arial"/>
                <w:sz w:val="18"/>
                <w:szCs w:val="18"/>
              </w:rPr>
            </w:pPr>
            <w:r w:rsidRPr="009E0641">
              <w:rPr>
                <w:rFonts w:cs="Arial"/>
                <w:sz w:val="18"/>
                <w:szCs w:val="18"/>
              </w:rPr>
              <w:t>8,341</w:t>
            </w:r>
          </w:p>
          <w:p w14:paraId="317F7EF0" w14:textId="77777777" w:rsidR="00FE5F1E" w:rsidRPr="009E0641" w:rsidRDefault="00FE5F1E" w:rsidP="009E0641">
            <w:pPr>
              <w:contextualSpacing/>
              <w:jc w:val="center"/>
              <w:rPr>
                <w:rFonts w:cs="Arial"/>
                <w:sz w:val="18"/>
                <w:szCs w:val="18"/>
              </w:rPr>
            </w:pPr>
            <w:r w:rsidRPr="009E0641">
              <w:rPr>
                <w:rFonts w:cs="Arial"/>
                <w:sz w:val="18"/>
                <w:szCs w:val="18"/>
              </w:rPr>
              <w:t>(0.06%)</w:t>
            </w:r>
          </w:p>
          <w:p w14:paraId="033599CE"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3A5A146E" w14:textId="77777777" w:rsidR="00FE5F1E" w:rsidRPr="009E0641" w:rsidRDefault="00FE5F1E" w:rsidP="009E0641">
            <w:pPr>
              <w:contextualSpacing/>
              <w:jc w:val="center"/>
              <w:rPr>
                <w:rFonts w:cs="Arial"/>
                <w:sz w:val="18"/>
                <w:szCs w:val="18"/>
              </w:rPr>
            </w:pPr>
            <w:r w:rsidRPr="009E0641">
              <w:rPr>
                <w:rFonts w:cs="Arial"/>
                <w:sz w:val="18"/>
                <w:szCs w:val="18"/>
              </w:rPr>
              <w:t>E</w:t>
            </w:r>
          </w:p>
          <w:p w14:paraId="2CCE9A54" w14:textId="77777777" w:rsidR="00FE5F1E" w:rsidRPr="009E0641" w:rsidRDefault="00FE5F1E" w:rsidP="009E0641">
            <w:pPr>
              <w:contextualSpacing/>
              <w:jc w:val="center"/>
              <w:rPr>
                <w:rFonts w:cs="Arial"/>
                <w:sz w:val="18"/>
                <w:szCs w:val="18"/>
              </w:rPr>
            </w:pPr>
          </w:p>
          <w:p w14:paraId="0D03553F"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53EA055D"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2707B0CB"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4FEB6BE5" w14:textId="77777777" w:rsidR="00FE5F1E" w:rsidRPr="009E0641" w:rsidRDefault="00FE5F1E" w:rsidP="009E0641">
            <w:pPr>
              <w:ind w:left="-93"/>
              <w:contextualSpacing/>
              <w:rPr>
                <w:rFonts w:cs="Arial"/>
                <w:sz w:val="18"/>
                <w:szCs w:val="18"/>
              </w:rPr>
            </w:pPr>
            <w:r w:rsidRPr="009E0641">
              <w:rPr>
                <w:rFonts w:cs="Arial"/>
                <w:sz w:val="18"/>
                <w:szCs w:val="18"/>
              </w:rPr>
              <w:t>Sudden idiopathic sensorineural loss</w:t>
            </w:r>
            <w:r w:rsidRPr="009E0641">
              <w:rPr>
                <w:rFonts w:cs="Arial"/>
                <w:sz w:val="18"/>
                <w:szCs w:val="18"/>
                <w:vertAlign w:val="superscript"/>
              </w:rPr>
              <w:t xml:space="preserve"> </w:t>
            </w:r>
            <w:r w:rsidRPr="009E0641">
              <w:rPr>
                <w:rFonts w:cs="Arial"/>
                <w:sz w:val="18"/>
                <w:szCs w:val="18"/>
              </w:rPr>
              <w:t>(200 cases per 1 million)</w:t>
            </w:r>
            <w:r w:rsidRPr="009E0641">
              <w:rPr>
                <w:rFonts w:cs="Arial"/>
                <w:sz w:val="18"/>
                <w:szCs w:val="18"/>
                <w:vertAlign w:val="superscript"/>
              </w:rPr>
              <w:t xml:space="preserve"> 2 </w:t>
            </w:r>
            <w:r w:rsidRPr="009E0641">
              <w:rPr>
                <w:rFonts w:cs="Arial"/>
                <w:sz w:val="18"/>
                <w:szCs w:val="18"/>
              </w:rPr>
              <w:t>needs referral to ENT</w:t>
            </w:r>
          </w:p>
          <w:p w14:paraId="1596FE6B"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CAB1A9F" w14:textId="77777777" w:rsidR="00FE5F1E" w:rsidRPr="009E0641" w:rsidRDefault="00FE5F1E" w:rsidP="009E0641">
            <w:pPr>
              <w:contextualSpacing/>
              <w:jc w:val="center"/>
              <w:rPr>
                <w:rFonts w:cs="Arial"/>
                <w:sz w:val="18"/>
                <w:szCs w:val="18"/>
              </w:rPr>
            </w:pPr>
            <w:r w:rsidRPr="009E0641">
              <w:rPr>
                <w:rFonts w:cs="Arial"/>
                <w:sz w:val="18"/>
                <w:szCs w:val="18"/>
              </w:rPr>
              <w:t>2,979</w:t>
            </w:r>
          </w:p>
          <w:p w14:paraId="2B29381B" w14:textId="77777777" w:rsidR="00FE5F1E" w:rsidRPr="009E0641" w:rsidRDefault="00FE5F1E" w:rsidP="009E0641">
            <w:pPr>
              <w:contextualSpacing/>
              <w:jc w:val="center"/>
              <w:rPr>
                <w:rFonts w:cs="Arial"/>
                <w:sz w:val="18"/>
                <w:szCs w:val="18"/>
              </w:rPr>
            </w:pPr>
            <w:r w:rsidRPr="009E0641">
              <w:rPr>
                <w:rFonts w:cs="Arial"/>
                <w:sz w:val="18"/>
                <w:szCs w:val="18"/>
              </w:rPr>
              <w:t>(0.02%)</w:t>
            </w:r>
          </w:p>
          <w:p w14:paraId="675A1E53"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074A510A" w14:textId="77777777" w:rsidR="00FE5F1E" w:rsidRPr="009E0641" w:rsidRDefault="00FE5F1E" w:rsidP="009E0641">
            <w:pPr>
              <w:contextualSpacing/>
              <w:jc w:val="center"/>
              <w:rPr>
                <w:rFonts w:cs="Arial"/>
                <w:sz w:val="18"/>
                <w:szCs w:val="18"/>
              </w:rPr>
            </w:pPr>
            <w:r w:rsidRPr="009E0641">
              <w:rPr>
                <w:rFonts w:cs="Arial"/>
                <w:sz w:val="18"/>
                <w:szCs w:val="18"/>
              </w:rPr>
              <w:t>F</w:t>
            </w:r>
          </w:p>
          <w:p w14:paraId="49139BEA" w14:textId="77777777" w:rsidR="00FE5F1E" w:rsidRPr="009E0641" w:rsidRDefault="00FE5F1E" w:rsidP="009E0641">
            <w:pPr>
              <w:contextualSpacing/>
              <w:jc w:val="center"/>
              <w:rPr>
                <w:rFonts w:cs="Arial"/>
                <w:sz w:val="18"/>
                <w:szCs w:val="18"/>
              </w:rPr>
            </w:pPr>
          </w:p>
          <w:p w14:paraId="10512B17"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14EEC4FC"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5C40419D"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6D162CE4" w14:textId="77777777" w:rsidR="00FE5F1E" w:rsidRPr="009E0641" w:rsidRDefault="00FE5F1E" w:rsidP="009E0641">
            <w:pPr>
              <w:ind w:left="-93"/>
              <w:contextualSpacing/>
              <w:rPr>
                <w:rFonts w:cs="Arial"/>
                <w:sz w:val="18"/>
                <w:szCs w:val="18"/>
              </w:rPr>
            </w:pPr>
            <w:r w:rsidRPr="009E0641">
              <w:rPr>
                <w:rFonts w:cs="Arial"/>
                <w:sz w:val="18"/>
                <w:szCs w:val="18"/>
              </w:rPr>
              <w:t>Cholesteatoma</w:t>
            </w:r>
            <w:r w:rsidRPr="009E0641">
              <w:rPr>
                <w:rFonts w:cs="Arial"/>
                <w:sz w:val="18"/>
                <w:szCs w:val="18"/>
                <w:vertAlign w:val="superscript"/>
              </w:rPr>
              <w:t xml:space="preserve"> </w:t>
            </w:r>
            <w:r w:rsidRPr="009E0641">
              <w:rPr>
                <w:rFonts w:cs="Arial"/>
                <w:sz w:val="18"/>
                <w:szCs w:val="18"/>
              </w:rPr>
              <w:t>(92 cases per 1 million)</w:t>
            </w:r>
            <w:r w:rsidRPr="009E0641">
              <w:rPr>
                <w:rFonts w:cs="Arial"/>
                <w:sz w:val="18"/>
                <w:szCs w:val="18"/>
                <w:vertAlign w:val="superscript"/>
              </w:rPr>
              <w:t xml:space="preserve"> 2 </w:t>
            </w:r>
            <w:r w:rsidRPr="009E0641">
              <w:rPr>
                <w:rFonts w:cs="Arial"/>
                <w:sz w:val="18"/>
                <w:szCs w:val="18"/>
              </w:rPr>
              <w:t>needs referral to ENT</w:t>
            </w:r>
          </w:p>
          <w:p w14:paraId="06C51C2B"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2D6627B" w14:textId="77777777" w:rsidR="00FE5F1E" w:rsidRPr="009E0641" w:rsidRDefault="00FE5F1E" w:rsidP="009E0641">
            <w:pPr>
              <w:contextualSpacing/>
              <w:jc w:val="center"/>
              <w:rPr>
                <w:rFonts w:cs="Arial"/>
                <w:sz w:val="18"/>
                <w:szCs w:val="18"/>
              </w:rPr>
            </w:pPr>
            <w:r w:rsidRPr="009E0641">
              <w:rPr>
                <w:rFonts w:cs="Arial"/>
                <w:sz w:val="18"/>
                <w:szCs w:val="18"/>
              </w:rPr>
              <w:t>1,370</w:t>
            </w:r>
          </w:p>
          <w:p w14:paraId="058CDFC1" w14:textId="77777777" w:rsidR="00FE5F1E" w:rsidRPr="009E0641" w:rsidRDefault="00FE5F1E" w:rsidP="009E0641">
            <w:pPr>
              <w:contextualSpacing/>
              <w:jc w:val="center"/>
              <w:rPr>
                <w:rFonts w:cs="Arial"/>
                <w:sz w:val="18"/>
                <w:szCs w:val="18"/>
              </w:rPr>
            </w:pPr>
            <w:r w:rsidRPr="009E0641">
              <w:rPr>
                <w:rFonts w:cs="Arial"/>
                <w:sz w:val="18"/>
                <w:szCs w:val="18"/>
              </w:rPr>
              <w:t>(0.01%)</w:t>
            </w:r>
          </w:p>
          <w:p w14:paraId="0870A524"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647C0821" w14:textId="77777777" w:rsidR="00FE5F1E" w:rsidRPr="009E0641" w:rsidRDefault="00FE5F1E" w:rsidP="009E0641">
            <w:pPr>
              <w:contextualSpacing/>
              <w:jc w:val="center"/>
              <w:rPr>
                <w:rFonts w:cs="Arial"/>
                <w:sz w:val="18"/>
                <w:szCs w:val="18"/>
              </w:rPr>
            </w:pPr>
            <w:r w:rsidRPr="009E0641">
              <w:rPr>
                <w:rFonts w:cs="Arial"/>
                <w:sz w:val="18"/>
                <w:szCs w:val="18"/>
              </w:rPr>
              <w:t>G</w:t>
            </w:r>
          </w:p>
          <w:p w14:paraId="0550C0B8" w14:textId="77777777" w:rsidR="00FE5F1E" w:rsidRPr="009E0641" w:rsidRDefault="00FE5F1E" w:rsidP="009E0641">
            <w:pPr>
              <w:contextualSpacing/>
              <w:jc w:val="center"/>
              <w:rPr>
                <w:rFonts w:cs="Arial"/>
                <w:sz w:val="18"/>
                <w:szCs w:val="18"/>
              </w:rPr>
            </w:pPr>
          </w:p>
          <w:p w14:paraId="05FE0773"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7D706785"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32EA8000"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28221E3F" w14:textId="77777777" w:rsidR="00FE5F1E" w:rsidRPr="009E0641" w:rsidRDefault="00FE5F1E" w:rsidP="009E0641">
            <w:pPr>
              <w:ind w:left="-93"/>
              <w:contextualSpacing/>
              <w:rPr>
                <w:rFonts w:cs="Arial"/>
                <w:sz w:val="18"/>
                <w:szCs w:val="18"/>
              </w:rPr>
            </w:pPr>
            <w:r w:rsidRPr="009E0641">
              <w:rPr>
                <w:rFonts w:cs="Arial"/>
                <w:sz w:val="18"/>
                <w:szCs w:val="18"/>
              </w:rPr>
              <w:t>Hearing loss in multiple sclerosis</w:t>
            </w:r>
            <w:r w:rsidRPr="009E0641">
              <w:rPr>
                <w:rFonts w:cs="Arial"/>
                <w:sz w:val="18"/>
                <w:szCs w:val="18"/>
                <w:vertAlign w:val="superscript"/>
              </w:rPr>
              <w:t xml:space="preserve"> </w:t>
            </w:r>
            <w:r w:rsidRPr="009E0641">
              <w:rPr>
                <w:rFonts w:cs="Arial"/>
                <w:sz w:val="18"/>
                <w:szCs w:val="18"/>
              </w:rPr>
              <w:t>(86 cases per 1 million)</w:t>
            </w:r>
            <w:r w:rsidRPr="009E0641">
              <w:rPr>
                <w:rFonts w:cs="Arial"/>
                <w:sz w:val="18"/>
                <w:szCs w:val="18"/>
                <w:vertAlign w:val="superscript"/>
              </w:rPr>
              <w:t xml:space="preserve"> 2 </w:t>
            </w:r>
            <w:r w:rsidRPr="009E0641">
              <w:rPr>
                <w:rFonts w:cs="Arial"/>
                <w:sz w:val="18"/>
                <w:szCs w:val="18"/>
              </w:rPr>
              <w:t>needs referral to ENT</w:t>
            </w:r>
          </w:p>
          <w:p w14:paraId="3FEF142E"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1E5F284" w14:textId="77777777" w:rsidR="00FE5F1E" w:rsidRPr="009E0641" w:rsidRDefault="00FE5F1E" w:rsidP="009E0641">
            <w:pPr>
              <w:contextualSpacing/>
              <w:jc w:val="center"/>
              <w:rPr>
                <w:rFonts w:cs="Arial"/>
                <w:sz w:val="18"/>
                <w:szCs w:val="18"/>
              </w:rPr>
            </w:pPr>
            <w:r w:rsidRPr="009E0641">
              <w:rPr>
                <w:rFonts w:cs="Arial"/>
                <w:sz w:val="18"/>
                <w:szCs w:val="18"/>
              </w:rPr>
              <w:t>1,281</w:t>
            </w:r>
          </w:p>
          <w:p w14:paraId="7D958891" w14:textId="77777777" w:rsidR="00FE5F1E" w:rsidRPr="009E0641" w:rsidRDefault="00FE5F1E" w:rsidP="009E0641">
            <w:pPr>
              <w:contextualSpacing/>
              <w:jc w:val="center"/>
              <w:rPr>
                <w:rFonts w:cs="Arial"/>
                <w:sz w:val="18"/>
                <w:szCs w:val="18"/>
              </w:rPr>
            </w:pPr>
            <w:r w:rsidRPr="009E0641">
              <w:rPr>
                <w:rFonts w:cs="Arial"/>
                <w:sz w:val="18"/>
                <w:szCs w:val="18"/>
              </w:rPr>
              <w:t>(0.01)</w:t>
            </w:r>
          </w:p>
          <w:p w14:paraId="6CA521FA"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1615650A" w14:textId="77777777" w:rsidR="00FE5F1E" w:rsidRPr="009E0641" w:rsidRDefault="00FE5F1E" w:rsidP="009E0641">
            <w:pPr>
              <w:contextualSpacing/>
              <w:jc w:val="center"/>
              <w:rPr>
                <w:rFonts w:cs="Arial"/>
                <w:sz w:val="18"/>
                <w:szCs w:val="18"/>
              </w:rPr>
            </w:pPr>
            <w:r w:rsidRPr="009E0641">
              <w:rPr>
                <w:rFonts w:cs="Arial"/>
                <w:sz w:val="18"/>
                <w:szCs w:val="18"/>
              </w:rPr>
              <w:t>H</w:t>
            </w:r>
          </w:p>
          <w:p w14:paraId="4DD1F5CB" w14:textId="77777777" w:rsidR="00FE5F1E" w:rsidRPr="009E0641" w:rsidRDefault="00FE5F1E" w:rsidP="009E0641">
            <w:pPr>
              <w:contextualSpacing/>
              <w:jc w:val="center"/>
              <w:rPr>
                <w:rFonts w:cs="Arial"/>
                <w:sz w:val="18"/>
                <w:szCs w:val="18"/>
              </w:rPr>
            </w:pPr>
          </w:p>
          <w:p w14:paraId="0ACF3954"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4AD6F10E"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583FD334"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693D58A3" w14:textId="77777777" w:rsidR="00FE5F1E" w:rsidRPr="009E0641" w:rsidRDefault="00FE5F1E" w:rsidP="009E0641">
            <w:pPr>
              <w:ind w:left="-93"/>
              <w:contextualSpacing/>
              <w:rPr>
                <w:rFonts w:cs="Arial"/>
                <w:sz w:val="18"/>
                <w:szCs w:val="18"/>
              </w:rPr>
            </w:pPr>
            <w:r w:rsidRPr="009E0641">
              <w:rPr>
                <w:rFonts w:cs="Arial"/>
                <w:sz w:val="18"/>
                <w:szCs w:val="18"/>
              </w:rPr>
              <w:t>Labyrinthitis</w:t>
            </w:r>
            <w:r w:rsidRPr="009E0641">
              <w:rPr>
                <w:rFonts w:cs="Arial"/>
                <w:sz w:val="18"/>
                <w:szCs w:val="18"/>
                <w:vertAlign w:val="superscript"/>
              </w:rPr>
              <w:t xml:space="preserve"> </w:t>
            </w:r>
            <w:r w:rsidRPr="009E0641">
              <w:rPr>
                <w:rFonts w:cs="Arial"/>
                <w:sz w:val="18"/>
                <w:szCs w:val="18"/>
              </w:rPr>
              <w:t>(35 cases per 1 million)</w:t>
            </w:r>
            <w:r w:rsidRPr="009E0641">
              <w:rPr>
                <w:rFonts w:cs="Arial"/>
                <w:sz w:val="18"/>
                <w:szCs w:val="18"/>
                <w:vertAlign w:val="superscript"/>
              </w:rPr>
              <w:t xml:space="preserve"> 2 </w:t>
            </w:r>
            <w:r w:rsidRPr="009E0641">
              <w:rPr>
                <w:rFonts w:cs="Arial"/>
                <w:sz w:val="18"/>
                <w:szCs w:val="18"/>
              </w:rPr>
              <w:t>needs referral to ENT</w:t>
            </w:r>
          </w:p>
          <w:p w14:paraId="717E60D8"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856336F" w14:textId="77777777" w:rsidR="00FE5F1E" w:rsidRPr="009E0641" w:rsidRDefault="00FE5F1E" w:rsidP="009E0641">
            <w:pPr>
              <w:contextualSpacing/>
              <w:jc w:val="center"/>
              <w:rPr>
                <w:rFonts w:cs="Arial"/>
                <w:sz w:val="18"/>
                <w:szCs w:val="18"/>
              </w:rPr>
            </w:pPr>
            <w:r w:rsidRPr="009E0641">
              <w:rPr>
                <w:rFonts w:cs="Arial"/>
                <w:sz w:val="18"/>
                <w:szCs w:val="18"/>
              </w:rPr>
              <w:t>521</w:t>
            </w:r>
          </w:p>
          <w:p w14:paraId="3DFFF1A1" w14:textId="77777777" w:rsidR="00FE5F1E" w:rsidRPr="009E0641" w:rsidRDefault="00FE5F1E" w:rsidP="009E0641">
            <w:pPr>
              <w:contextualSpacing/>
              <w:jc w:val="center"/>
              <w:rPr>
                <w:rFonts w:cs="Arial"/>
                <w:sz w:val="18"/>
                <w:szCs w:val="18"/>
              </w:rPr>
            </w:pPr>
            <w:r w:rsidRPr="009E0641">
              <w:rPr>
                <w:rFonts w:cs="Arial"/>
                <w:sz w:val="18"/>
                <w:szCs w:val="18"/>
              </w:rPr>
              <w:t>(0.004%)</w:t>
            </w:r>
          </w:p>
          <w:p w14:paraId="1EE59232" w14:textId="77777777" w:rsidR="00FE5F1E" w:rsidRPr="009E0641" w:rsidRDefault="00FE5F1E" w:rsidP="009E0641">
            <w:pPr>
              <w:contextualSpacing/>
              <w:jc w:val="center"/>
              <w:rPr>
                <w:rFonts w:cs="Arial"/>
                <w:sz w:val="18"/>
                <w:szCs w:val="18"/>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6826406F" w14:textId="77777777" w:rsidR="00FE5F1E" w:rsidRPr="009E0641" w:rsidRDefault="00FE5F1E" w:rsidP="009E0641">
            <w:pPr>
              <w:contextualSpacing/>
              <w:jc w:val="center"/>
              <w:rPr>
                <w:rFonts w:cs="Arial"/>
                <w:sz w:val="18"/>
                <w:szCs w:val="18"/>
              </w:rPr>
            </w:pPr>
            <w:r w:rsidRPr="009E0641">
              <w:rPr>
                <w:rFonts w:cs="Arial"/>
                <w:sz w:val="18"/>
                <w:szCs w:val="18"/>
              </w:rPr>
              <w:t>I</w:t>
            </w:r>
          </w:p>
          <w:p w14:paraId="1E82CBFA" w14:textId="77777777" w:rsidR="00FE5F1E" w:rsidRPr="009E0641" w:rsidRDefault="00FE5F1E" w:rsidP="009E0641">
            <w:pPr>
              <w:contextualSpacing/>
              <w:jc w:val="center"/>
              <w:rPr>
                <w:rFonts w:cs="Arial"/>
                <w:sz w:val="18"/>
                <w:szCs w:val="18"/>
              </w:rPr>
            </w:pPr>
          </w:p>
          <w:p w14:paraId="1AD7EDA5"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68C492C7"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0C67605F" w14:textId="77777777" w:rsidTr="009F423E">
        <w:trPr>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hideMark/>
          </w:tcPr>
          <w:p w14:paraId="239655D9" w14:textId="77777777" w:rsidR="00FE5F1E" w:rsidRPr="009E0641" w:rsidRDefault="00FE5F1E" w:rsidP="009E0641">
            <w:pPr>
              <w:ind w:left="-93"/>
              <w:contextualSpacing/>
              <w:rPr>
                <w:rFonts w:cs="Arial"/>
                <w:sz w:val="18"/>
                <w:szCs w:val="18"/>
              </w:rPr>
            </w:pPr>
            <w:r w:rsidRPr="009E0641">
              <w:rPr>
                <w:rFonts w:cs="Arial"/>
                <w:sz w:val="18"/>
                <w:szCs w:val="18"/>
              </w:rPr>
              <w:t>Vestibular schwannoma or other retrocochlear mass</w:t>
            </w:r>
            <w:r w:rsidRPr="009E0641">
              <w:rPr>
                <w:rFonts w:cs="Arial"/>
                <w:sz w:val="18"/>
                <w:szCs w:val="18"/>
                <w:vertAlign w:val="superscript"/>
              </w:rPr>
              <w:t xml:space="preserve"> </w:t>
            </w:r>
            <w:r w:rsidRPr="009E0641">
              <w:rPr>
                <w:rFonts w:cs="Arial"/>
                <w:sz w:val="18"/>
                <w:szCs w:val="18"/>
              </w:rPr>
              <w:t>(15 cases per 1 million)</w:t>
            </w:r>
            <w:r w:rsidRPr="009E0641">
              <w:rPr>
                <w:rFonts w:cs="Arial"/>
                <w:sz w:val="18"/>
                <w:szCs w:val="18"/>
                <w:vertAlign w:val="superscript"/>
              </w:rPr>
              <w:t xml:space="preserve"> 2 </w:t>
            </w:r>
            <w:r w:rsidRPr="009E0641">
              <w:rPr>
                <w:rFonts w:cs="Arial"/>
                <w:sz w:val="18"/>
                <w:szCs w:val="18"/>
              </w:rPr>
              <w:t>needs referral to ENT</w:t>
            </w:r>
          </w:p>
          <w:p w14:paraId="59682525"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0B65E8F1" w14:textId="77777777" w:rsidR="00FE5F1E" w:rsidRPr="009E0641" w:rsidRDefault="00FE5F1E" w:rsidP="009E0641">
            <w:pPr>
              <w:contextualSpacing/>
              <w:jc w:val="center"/>
              <w:rPr>
                <w:rFonts w:cs="Arial"/>
                <w:sz w:val="18"/>
                <w:szCs w:val="18"/>
              </w:rPr>
            </w:pPr>
            <w:r w:rsidRPr="009E0641">
              <w:rPr>
                <w:rFonts w:cs="Arial"/>
                <w:sz w:val="18"/>
                <w:szCs w:val="18"/>
              </w:rPr>
              <w:t>223</w:t>
            </w:r>
          </w:p>
          <w:p w14:paraId="5FA619A0" w14:textId="77777777" w:rsidR="00FE5F1E" w:rsidRPr="009E0641" w:rsidRDefault="00FE5F1E" w:rsidP="009E0641">
            <w:pPr>
              <w:contextualSpacing/>
              <w:jc w:val="center"/>
              <w:rPr>
                <w:rFonts w:cs="Arial"/>
                <w:sz w:val="18"/>
                <w:szCs w:val="18"/>
              </w:rPr>
            </w:pPr>
            <w:r w:rsidRPr="009E0641">
              <w:rPr>
                <w:rFonts w:cs="Arial"/>
                <w:sz w:val="18"/>
                <w:szCs w:val="18"/>
              </w:rPr>
              <w:t>(0.002%)</w:t>
            </w: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0231F22F" w14:textId="77777777" w:rsidR="00FE5F1E" w:rsidRPr="009E0641" w:rsidRDefault="00FE5F1E" w:rsidP="009E0641">
            <w:pPr>
              <w:contextualSpacing/>
              <w:jc w:val="center"/>
              <w:rPr>
                <w:rFonts w:cs="Arial"/>
                <w:sz w:val="18"/>
                <w:szCs w:val="18"/>
              </w:rPr>
            </w:pPr>
            <w:r w:rsidRPr="009E0641">
              <w:rPr>
                <w:rFonts w:cs="Arial"/>
                <w:sz w:val="18"/>
                <w:szCs w:val="18"/>
              </w:rPr>
              <w:t>J</w:t>
            </w:r>
          </w:p>
          <w:p w14:paraId="5124AD7F" w14:textId="77777777" w:rsidR="00FE5F1E" w:rsidRPr="009E0641" w:rsidRDefault="00FE5F1E" w:rsidP="009E0641">
            <w:pPr>
              <w:contextualSpacing/>
              <w:jc w:val="center"/>
              <w:rPr>
                <w:rFonts w:cs="Arial"/>
                <w:sz w:val="18"/>
                <w:szCs w:val="18"/>
              </w:rPr>
            </w:pPr>
          </w:p>
        </w:tc>
        <w:tc>
          <w:tcPr>
            <w:tcW w:w="2974" w:type="dxa"/>
            <w:tcBorders>
              <w:top w:val="single" w:sz="4" w:space="0" w:color="auto"/>
              <w:left w:val="single" w:sz="4" w:space="0" w:color="auto"/>
              <w:bottom w:val="single" w:sz="4" w:space="0" w:color="auto"/>
              <w:right w:val="single" w:sz="4" w:space="0" w:color="auto"/>
            </w:tcBorders>
          </w:tcPr>
          <w:p w14:paraId="0720B25D" w14:textId="77777777" w:rsidR="00FE5F1E" w:rsidRPr="009E0641" w:rsidRDefault="00FE5F1E" w:rsidP="009E0641">
            <w:pPr>
              <w:contextualSpacing/>
              <w:rPr>
                <w:rFonts w:cs="Arial"/>
                <w:sz w:val="18"/>
                <w:szCs w:val="18"/>
              </w:rPr>
            </w:pPr>
            <w:r w:rsidRPr="009E0641">
              <w:rPr>
                <w:rFonts w:cs="Arial"/>
                <w:sz w:val="18"/>
                <w:szCs w:val="18"/>
              </w:rPr>
              <w:t>[Prevalence of condition (Zapala et al., 2010)] multiplied by [A]</w:t>
            </w:r>
          </w:p>
        </w:tc>
      </w:tr>
      <w:tr w:rsidR="00FE5F1E" w:rsidRPr="009E0641" w14:paraId="5A22552C" w14:textId="77777777" w:rsidTr="009F423E">
        <w:trPr>
          <w:gridAfter w:val="1"/>
          <w:wAfter w:w="2974" w:type="dxa"/>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tcPr>
          <w:p w14:paraId="74E8D408" w14:textId="77777777" w:rsidR="00FE5F1E" w:rsidRPr="009E0641" w:rsidRDefault="00FE5F1E" w:rsidP="009E0641">
            <w:pPr>
              <w:ind w:left="-93"/>
              <w:contextualSpacing/>
              <w:rPr>
                <w:rFonts w:cs="Arial"/>
                <w:sz w:val="18"/>
                <w:szCs w:val="18"/>
              </w:rPr>
            </w:pPr>
            <w:r w:rsidRPr="009E0641">
              <w:rPr>
                <w:rFonts w:cs="Arial"/>
                <w:sz w:val="18"/>
                <w:szCs w:val="18"/>
              </w:rPr>
              <w:t>Estimated total number of cases of hearing loss in people aged ≥55</w:t>
            </w:r>
            <w:r w:rsidRPr="009E0641">
              <w:rPr>
                <w:rFonts w:cs="Arial"/>
                <w:sz w:val="18"/>
                <w:szCs w:val="18"/>
                <w:vertAlign w:val="superscript"/>
              </w:rPr>
              <w:t>1</w:t>
            </w:r>
            <w:r w:rsidRPr="009E0641">
              <w:rPr>
                <w:rFonts w:cs="Arial"/>
                <w:sz w:val="18"/>
                <w:szCs w:val="18"/>
              </w:rPr>
              <w:t xml:space="preserve"> requiring medical review [Σ: C:J]</w:t>
            </w:r>
          </w:p>
          <w:p w14:paraId="231B279A" w14:textId="77777777" w:rsidR="00FE5F1E" w:rsidRPr="009E0641" w:rsidRDefault="00FE5F1E" w:rsidP="009E0641">
            <w:pPr>
              <w:ind w:left="-93"/>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63CAF99D" w14:textId="77777777" w:rsidR="00FE5F1E" w:rsidRPr="009E0641" w:rsidRDefault="00FE5F1E" w:rsidP="009E0641">
            <w:pPr>
              <w:contextualSpacing/>
              <w:jc w:val="center"/>
              <w:rPr>
                <w:rFonts w:cs="Arial"/>
                <w:sz w:val="18"/>
                <w:szCs w:val="18"/>
              </w:rPr>
            </w:pPr>
            <w:r w:rsidRPr="009E0641">
              <w:rPr>
                <w:rFonts w:cs="Arial"/>
                <w:sz w:val="18"/>
                <w:szCs w:val="18"/>
              </w:rPr>
              <w:t>707,192</w:t>
            </w:r>
          </w:p>
        </w:tc>
        <w:tc>
          <w:tcPr>
            <w:tcW w:w="429" w:type="dxa"/>
            <w:tcBorders>
              <w:top w:val="single" w:sz="4" w:space="0" w:color="auto"/>
              <w:bottom w:val="single" w:sz="4" w:space="0" w:color="auto"/>
              <w:right w:val="single" w:sz="4" w:space="0" w:color="auto"/>
            </w:tcBorders>
            <w:shd w:val="clear" w:color="auto" w:fill="auto"/>
          </w:tcPr>
          <w:p w14:paraId="7CD6DE7D" w14:textId="77777777" w:rsidR="00FE5F1E" w:rsidRPr="009E0641" w:rsidRDefault="00FE5F1E" w:rsidP="009E0641">
            <w:pPr>
              <w:contextualSpacing/>
              <w:jc w:val="center"/>
              <w:rPr>
                <w:rFonts w:cs="Arial"/>
                <w:sz w:val="18"/>
                <w:szCs w:val="18"/>
              </w:rPr>
            </w:pPr>
            <w:r w:rsidRPr="009E0641">
              <w:rPr>
                <w:rFonts w:cs="Arial"/>
                <w:sz w:val="18"/>
                <w:szCs w:val="18"/>
              </w:rPr>
              <w:t>K</w:t>
            </w:r>
          </w:p>
        </w:tc>
      </w:tr>
      <w:tr w:rsidR="00FE5F1E" w:rsidRPr="009E0641" w14:paraId="3400C9EC" w14:textId="77777777" w:rsidTr="009F423E">
        <w:trPr>
          <w:gridAfter w:val="1"/>
          <w:wAfter w:w="2974" w:type="dxa"/>
          <w:trHeight w:val="300"/>
        </w:trPr>
        <w:tc>
          <w:tcPr>
            <w:tcW w:w="4126" w:type="dxa"/>
            <w:tcBorders>
              <w:top w:val="single" w:sz="4" w:space="0" w:color="auto"/>
              <w:left w:val="single" w:sz="4" w:space="0" w:color="auto"/>
              <w:bottom w:val="single" w:sz="4" w:space="0" w:color="auto"/>
              <w:right w:val="single" w:sz="4" w:space="0" w:color="auto"/>
            </w:tcBorders>
            <w:shd w:val="clear" w:color="auto" w:fill="auto"/>
            <w:noWrap/>
          </w:tcPr>
          <w:p w14:paraId="722A6B3F" w14:textId="77777777" w:rsidR="00FE5F1E" w:rsidRPr="009E0641" w:rsidRDefault="00FE5F1E" w:rsidP="009E0641">
            <w:pPr>
              <w:ind w:left="-93"/>
              <w:contextualSpacing/>
              <w:rPr>
                <w:rFonts w:cs="Arial"/>
                <w:sz w:val="18"/>
                <w:szCs w:val="18"/>
              </w:rPr>
            </w:pPr>
            <w:r w:rsidRPr="009E0641">
              <w:rPr>
                <w:rFonts w:cs="Arial"/>
                <w:sz w:val="18"/>
                <w:szCs w:val="18"/>
              </w:rPr>
              <w:t>Conservative estimate of the number of people aged ≥55</w:t>
            </w:r>
            <w:r w:rsidRPr="009E0641">
              <w:rPr>
                <w:rFonts w:cs="Arial"/>
                <w:sz w:val="18"/>
                <w:szCs w:val="18"/>
                <w:vertAlign w:val="superscript"/>
              </w:rPr>
              <w:t>1</w:t>
            </w:r>
            <w:r w:rsidRPr="009E0641">
              <w:rPr>
                <w:rFonts w:cs="Arial"/>
                <w:sz w:val="18"/>
                <w:szCs w:val="18"/>
              </w:rPr>
              <w:t xml:space="preserve"> with at least a mild hearing loss (≥25dB) that do </w:t>
            </w:r>
            <w:r w:rsidRPr="009E0641">
              <w:rPr>
                <w:rFonts w:cs="Arial"/>
                <w:b/>
                <w:sz w:val="18"/>
                <w:szCs w:val="18"/>
              </w:rPr>
              <w:t>not</w:t>
            </w:r>
            <w:r w:rsidRPr="009E0641">
              <w:rPr>
                <w:rFonts w:cs="Arial"/>
                <w:sz w:val="18"/>
                <w:szCs w:val="18"/>
              </w:rPr>
              <w:t xml:space="preserve"> need medical opinion [B-K]</w:t>
            </w:r>
          </w:p>
          <w:p w14:paraId="6061502A" w14:textId="77777777" w:rsidR="00FE5F1E" w:rsidRPr="009E0641" w:rsidRDefault="00FE5F1E" w:rsidP="009E0641">
            <w:pPr>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04D33E7" w14:textId="77777777" w:rsidR="00FE5F1E" w:rsidRPr="009E0641" w:rsidRDefault="00FE5F1E" w:rsidP="009E0641">
            <w:pPr>
              <w:contextualSpacing/>
              <w:jc w:val="center"/>
              <w:rPr>
                <w:rFonts w:cs="Arial"/>
                <w:sz w:val="18"/>
                <w:szCs w:val="18"/>
              </w:rPr>
            </w:pPr>
            <w:r w:rsidRPr="009E0641">
              <w:rPr>
                <w:rFonts w:cs="Arial"/>
                <w:sz w:val="18"/>
                <w:szCs w:val="18"/>
              </w:rPr>
              <w:t>6,200,240</w:t>
            </w:r>
          </w:p>
          <w:p w14:paraId="7CCCD3D2" w14:textId="77777777" w:rsidR="00FE5F1E" w:rsidRPr="009E0641" w:rsidRDefault="00FE5F1E" w:rsidP="009E0641">
            <w:pPr>
              <w:contextualSpacing/>
              <w:jc w:val="center"/>
              <w:rPr>
                <w:rFonts w:cs="Arial"/>
                <w:sz w:val="18"/>
                <w:szCs w:val="18"/>
              </w:rPr>
            </w:pPr>
          </w:p>
        </w:tc>
        <w:tc>
          <w:tcPr>
            <w:tcW w:w="429" w:type="dxa"/>
            <w:tcBorders>
              <w:top w:val="single" w:sz="4" w:space="0" w:color="auto"/>
              <w:bottom w:val="single" w:sz="4" w:space="0" w:color="auto"/>
              <w:right w:val="single" w:sz="4" w:space="0" w:color="auto"/>
            </w:tcBorders>
            <w:shd w:val="clear" w:color="auto" w:fill="auto"/>
          </w:tcPr>
          <w:p w14:paraId="58E71440" w14:textId="77777777" w:rsidR="00FE5F1E" w:rsidRPr="009E0641" w:rsidRDefault="00FE5F1E" w:rsidP="009E0641">
            <w:pPr>
              <w:contextualSpacing/>
              <w:rPr>
                <w:rFonts w:cs="Arial"/>
                <w:sz w:val="18"/>
                <w:szCs w:val="18"/>
              </w:rPr>
            </w:pPr>
            <w:r w:rsidRPr="009E0641">
              <w:rPr>
                <w:rFonts w:cs="Arial"/>
                <w:sz w:val="18"/>
                <w:szCs w:val="18"/>
              </w:rPr>
              <w:t>M</w:t>
            </w:r>
          </w:p>
        </w:tc>
      </w:tr>
      <w:tr w:rsidR="00FE5F1E" w:rsidRPr="009E0641" w14:paraId="12B4E708" w14:textId="77777777" w:rsidTr="001962A7">
        <w:trPr>
          <w:gridAfter w:val="2"/>
          <w:wAfter w:w="3403" w:type="dxa"/>
          <w:trHeight w:val="300"/>
        </w:trPr>
        <w:tc>
          <w:tcPr>
            <w:tcW w:w="4126" w:type="dxa"/>
            <w:tcBorders>
              <w:top w:val="single" w:sz="4" w:space="0" w:color="auto"/>
              <w:left w:val="single" w:sz="4" w:space="0" w:color="auto"/>
              <w:bottom w:val="single" w:sz="4" w:space="0" w:color="auto"/>
              <w:right w:val="single" w:sz="4" w:space="0" w:color="auto"/>
            </w:tcBorders>
            <w:shd w:val="clear" w:color="auto" w:fill="FFC000"/>
            <w:noWrap/>
          </w:tcPr>
          <w:p w14:paraId="1D4F2114" w14:textId="77777777" w:rsidR="00FE5F1E" w:rsidRPr="009E0641" w:rsidRDefault="00FE5F1E" w:rsidP="009E0641">
            <w:pPr>
              <w:ind w:left="-93"/>
              <w:contextualSpacing/>
              <w:rPr>
                <w:rFonts w:cs="Arial"/>
                <w:sz w:val="18"/>
                <w:szCs w:val="18"/>
                <w:vertAlign w:val="superscript"/>
              </w:rPr>
            </w:pPr>
            <w:r w:rsidRPr="009E0641">
              <w:rPr>
                <w:rFonts w:cs="Arial"/>
                <w:sz w:val="18"/>
                <w:szCs w:val="18"/>
              </w:rPr>
              <w:t>Estimated (%) of people with a hearing loss aged ≥55</w:t>
            </w:r>
            <w:r w:rsidRPr="009E0641">
              <w:rPr>
                <w:rFonts w:cs="Arial"/>
                <w:sz w:val="18"/>
                <w:szCs w:val="18"/>
                <w:vertAlign w:val="superscript"/>
              </w:rPr>
              <w:t xml:space="preserve">1 </w:t>
            </w:r>
            <w:r w:rsidRPr="009E0641">
              <w:rPr>
                <w:rFonts w:cs="Arial"/>
                <w:sz w:val="18"/>
                <w:szCs w:val="18"/>
              </w:rPr>
              <w:t>that can be managed by a community-based audiologist [M/L] – i.e. is mainly a ARHL</w:t>
            </w:r>
            <w:r w:rsidRPr="009E0641">
              <w:rPr>
                <w:rFonts w:cs="Arial"/>
                <w:sz w:val="18"/>
                <w:szCs w:val="18"/>
                <w:vertAlign w:val="superscript"/>
              </w:rPr>
              <w:t>3</w:t>
            </w:r>
            <w:r w:rsidRPr="009E0641">
              <w:rPr>
                <w:rFonts w:cs="Arial"/>
                <w:sz w:val="18"/>
                <w:szCs w:val="18"/>
              </w:rPr>
              <w:t xml:space="preserve"> </w:t>
            </w:r>
          </w:p>
          <w:p w14:paraId="7FB4B489" w14:textId="77777777" w:rsidR="00FE5F1E" w:rsidRPr="009E0641" w:rsidRDefault="00FE5F1E" w:rsidP="009E0641">
            <w:pPr>
              <w:contextualSpacing/>
              <w:rPr>
                <w:rFonts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27ED56B" w14:textId="77777777" w:rsidR="00FE5F1E" w:rsidRPr="009E0641" w:rsidRDefault="00FE5F1E" w:rsidP="009E0641">
            <w:pPr>
              <w:contextualSpacing/>
              <w:jc w:val="center"/>
              <w:rPr>
                <w:rFonts w:cs="Arial"/>
                <w:sz w:val="18"/>
                <w:szCs w:val="18"/>
                <w:vertAlign w:val="superscript"/>
              </w:rPr>
            </w:pPr>
            <w:r w:rsidRPr="009E0641">
              <w:rPr>
                <w:rFonts w:cs="Arial"/>
                <w:sz w:val="18"/>
                <w:szCs w:val="18"/>
              </w:rPr>
              <w:t>89.8%</w:t>
            </w:r>
            <w:r w:rsidRPr="009E0641">
              <w:rPr>
                <w:rFonts w:cs="Arial"/>
                <w:sz w:val="18"/>
                <w:szCs w:val="18"/>
                <w:vertAlign w:val="superscript"/>
              </w:rPr>
              <w:t>3</w:t>
            </w:r>
          </w:p>
          <w:p w14:paraId="66CE4834" w14:textId="77777777" w:rsidR="00FE5F1E" w:rsidRPr="009E0641" w:rsidRDefault="00FE5F1E" w:rsidP="009E0641">
            <w:pPr>
              <w:contextualSpacing/>
              <w:jc w:val="center"/>
              <w:rPr>
                <w:rFonts w:cs="Arial"/>
                <w:sz w:val="18"/>
                <w:szCs w:val="18"/>
                <w:vertAlign w:val="superscript"/>
              </w:rPr>
            </w:pPr>
            <w:r w:rsidRPr="009E0641">
              <w:rPr>
                <w:rFonts w:cs="Arial"/>
                <w:sz w:val="18"/>
                <w:szCs w:val="18"/>
              </w:rPr>
              <w:t>(or 73% of all people with hearing loss if including people &lt;55)</w:t>
            </w:r>
            <w:r w:rsidRPr="009E0641">
              <w:rPr>
                <w:rFonts w:cs="Arial"/>
                <w:sz w:val="18"/>
                <w:szCs w:val="18"/>
                <w:vertAlign w:val="superscript"/>
              </w:rPr>
              <w:t>4</w:t>
            </w:r>
          </w:p>
        </w:tc>
      </w:tr>
    </w:tbl>
    <w:p w14:paraId="410FE636" w14:textId="77777777" w:rsidR="00FE5F1E" w:rsidRPr="009E0641" w:rsidRDefault="00FE5F1E" w:rsidP="009E0641">
      <w:pPr>
        <w:contextualSpacing/>
        <w:rPr>
          <w:rFonts w:cs="Arial"/>
          <w:b/>
          <w:sz w:val="18"/>
          <w:szCs w:val="18"/>
          <w:u w:val="single"/>
          <w:vertAlign w:val="superscript"/>
        </w:rPr>
      </w:pPr>
    </w:p>
    <w:p w14:paraId="19FF8A53" w14:textId="77777777" w:rsidR="00FE5F1E" w:rsidRPr="009541B6" w:rsidRDefault="00FE5F1E" w:rsidP="009E0641">
      <w:pPr>
        <w:contextualSpacing/>
        <w:rPr>
          <w:rFonts w:cs="Arial"/>
          <w:sz w:val="18"/>
          <w:szCs w:val="18"/>
        </w:rPr>
      </w:pPr>
      <w:r w:rsidRPr="009E0641">
        <w:rPr>
          <w:rFonts w:cs="Arial"/>
          <w:b/>
          <w:sz w:val="18"/>
          <w:szCs w:val="18"/>
          <w:u w:val="single"/>
          <w:vertAlign w:val="superscript"/>
        </w:rPr>
        <w:t>1</w:t>
      </w:r>
      <w:r w:rsidRPr="009E0641">
        <w:rPr>
          <w:rFonts w:cs="Arial"/>
          <w:sz w:val="18"/>
          <w:szCs w:val="18"/>
        </w:rPr>
        <w:t xml:space="preserve"> In 2012 the Department of Health published guidance on referral criteria for ARHL and set the age for General Practitioners referring patients for ARHL at 55. Therefore this table is based on people aged ≥ 55 (Department of Health, 2012, p.51). </w:t>
      </w:r>
      <w:r w:rsidRPr="009E0641">
        <w:rPr>
          <w:rFonts w:cs="Arial"/>
          <w:b/>
          <w:sz w:val="18"/>
          <w:szCs w:val="18"/>
          <w:u w:val="single"/>
          <w:vertAlign w:val="superscript"/>
        </w:rPr>
        <w:t>2</w:t>
      </w:r>
      <w:r w:rsidRPr="009E0641">
        <w:rPr>
          <w:rFonts w:cs="Arial"/>
          <w:sz w:val="18"/>
          <w:szCs w:val="18"/>
        </w:rPr>
        <w:t xml:space="preserve"> Zapala et al., (2010) provide the highest estimates of conditions that would require medical review, whilst their study is based in the United States, their estimates are from the literature and therefore more generalisable. Estimates could be updated with local epidemiological data but this was outside the scope of this study and there was no reason to assume these conditions would be higher in England than other Western Countries. </w:t>
      </w:r>
      <w:r w:rsidRPr="009E0641">
        <w:rPr>
          <w:rFonts w:cs="Arial"/>
          <w:b/>
          <w:sz w:val="18"/>
          <w:szCs w:val="18"/>
          <w:u w:val="single"/>
          <w:vertAlign w:val="superscript"/>
        </w:rPr>
        <w:t>3</w:t>
      </w:r>
      <w:r w:rsidRPr="009E0641">
        <w:rPr>
          <w:rFonts w:cs="Arial"/>
          <w:sz w:val="18"/>
          <w:szCs w:val="18"/>
        </w:rPr>
        <w:t xml:space="preserve">This is consistent with Zapala et al., (2010) who note very conservative estimates suggest that 89% of people aged ≥65 with a hearing loss would not need a medical review. Zapala et al. also provide prevalence estimates of 15% for noise-induced loss. After consulting expert opinion (Anon), both noise and ARHL are forms of sensorineural losses and ARHL is a function of (age, noise exposure and other unknown factors). Therefore noise induced hearing loss is difficult to differentiate from ARHL in older people and in any case does not need medical review. Therefore 15% noise-induced hearing loss was not used separately. </w:t>
      </w:r>
      <w:r w:rsidRPr="009E0641">
        <w:rPr>
          <w:rFonts w:cs="Arial"/>
          <w:b/>
          <w:sz w:val="18"/>
          <w:szCs w:val="18"/>
          <w:u w:val="single"/>
          <w:vertAlign w:val="superscript"/>
        </w:rPr>
        <w:t>4</w:t>
      </w:r>
      <w:r w:rsidRPr="009E0641">
        <w:rPr>
          <w:rFonts w:cs="Arial"/>
          <w:sz w:val="18"/>
          <w:szCs w:val="18"/>
        </w:rPr>
        <w:t xml:space="preserve"> Based on (6,200,240/8,534,073 from section one).</w:t>
      </w:r>
      <w:r w:rsidRPr="009541B6">
        <w:rPr>
          <w:rFonts w:cs="Arial"/>
          <w:sz w:val="18"/>
          <w:szCs w:val="18"/>
        </w:rPr>
        <w:t xml:space="preserve"> </w:t>
      </w:r>
    </w:p>
    <w:bookmarkEnd w:id="0"/>
    <w:p w14:paraId="7B6A4A6C" w14:textId="77777777" w:rsidR="00FE5F1E" w:rsidRPr="009541B6" w:rsidRDefault="00FE5F1E" w:rsidP="009E0641">
      <w:pPr>
        <w:pStyle w:val="EndnoteText"/>
        <w:contextualSpacing/>
        <w:rPr>
          <w:rFonts w:cs="Arial"/>
          <w:sz w:val="18"/>
          <w:szCs w:val="18"/>
          <w:lang w:val="en-US"/>
        </w:rPr>
      </w:pPr>
    </w:p>
  </w:endnote>
  <w:endnote w:id="32">
    <w:p w14:paraId="37B5FAE2"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p.31-34</w:t>
      </w:r>
    </w:p>
    <w:p w14:paraId="5B668E6F" w14:textId="77777777" w:rsidR="00FE5F1E" w:rsidRPr="009541B6" w:rsidRDefault="00FE5F1E" w:rsidP="00FE5F1E">
      <w:pPr>
        <w:pStyle w:val="EndnoteText"/>
        <w:contextualSpacing/>
        <w:rPr>
          <w:rFonts w:cs="Arial"/>
          <w:sz w:val="18"/>
          <w:szCs w:val="18"/>
          <w:lang w:val="en-US"/>
        </w:rPr>
      </w:pPr>
    </w:p>
  </w:endnote>
  <w:endnote w:id="33">
    <w:p w14:paraId="08732C77"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See: </w:t>
      </w:r>
      <w:hyperlink r:id="rId20" w:anchor="page=35" w:history="1">
        <w:r w:rsidRPr="009541B6">
          <w:rPr>
            <w:rStyle w:val="Hyperlink"/>
            <w:rFonts w:cs="Arial"/>
            <w:sz w:val="18"/>
            <w:szCs w:val="18"/>
            <w:lang w:val="en-US"/>
          </w:rPr>
          <w:t>Monitor, 2015. NHS adult hearing services in England: exploring how choice is working for patients. Monitor’s report makes clear that introducing choice can help drive better value for money</w:t>
        </w:r>
      </w:hyperlink>
      <w:r w:rsidRPr="009541B6">
        <w:rPr>
          <w:rFonts w:cs="Arial"/>
          <w:sz w:val="18"/>
          <w:szCs w:val="18"/>
          <w:lang w:val="en-US"/>
        </w:rPr>
        <w:t xml:space="preserve">. Monitor also provides commissioners with guidance on how to make choice work better for patients and explains that where there is unmet need, total costs might rise, but that in its view the benefits are likely to outweigh the costs. </w:t>
      </w:r>
    </w:p>
    <w:p w14:paraId="457D9989" w14:textId="77777777" w:rsidR="00FE5F1E" w:rsidRPr="009541B6" w:rsidRDefault="00FE5F1E" w:rsidP="00FE5F1E">
      <w:pPr>
        <w:pStyle w:val="EndnoteText"/>
        <w:contextualSpacing/>
        <w:rPr>
          <w:rFonts w:cs="Arial"/>
          <w:sz w:val="18"/>
          <w:szCs w:val="18"/>
        </w:rPr>
      </w:pPr>
    </w:p>
  </w:endnote>
  <w:endnote w:id="34">
    <w:p w14:paraId="7E780178"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This includes reported activity for hearing assessments, fits, follow-ups and repairs rising from </w:t>
      </w:r>
      <w:r w:rsidRPr="009541B6">
        <w:rPr>
          <w:rFonts w:eastAsia="Times New Roman" w:cs="Arial"/>
          <w:color w:val="000000"/>
          <w:sz w:val="18"/>
          <w:szCs w:val="18"/>
        </w:rPr>
        <w:t xml:space="preserve">1,098,196 (2002/2003) to 2,657,610 (2012/2013): </w:t>
      </w:r>
      <w:r w:rsidRPr="009541B6">
        <w:rPr>
          <w:rFonts w:cs="Arial"/>
          <w:sz w:val="18"/>
          <w:szCs w:val="18"/>
          <w:lang w:val="en-US"/>
        </w:rPr>
        <w:t>Audiology Service Activity 2004-2013 (source: Department of Health)</w:t>
      </w:r>
    </w:p>
    <w:p w14:paraId="5CDD5D97" w14:textId="77777777" w:rsidR="00FE5F1E" w:rsidRPr="009541B6" w:rsidRDefault="00FE5F1E" w:rsidP="00FE5F1E">
      <w:pPr>
        <w:pStyle w:val="EndnoteText"/>
        <w:contextualSpacing/>
        <w:rPr>
          <w:rFonts w:cs="Arial"/>
          <w:sz w:val="18"/>
          <w:szCs w:val="18"/>
        </w:rPr>
      </w:pPr>
    </w:p>
  </w:endnote>
  <w:endnote w:id="35">
    <w:p w14:paraId="335C5395"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NDCS, 2014, Listen Up, available here </w:t>
      </w:r>
      <w:hyperlink r:id="rId21" w:history="1">
        <w:r w:rsidRPr="009541B6">
          <w:rPr>
            <w:rStyle w:val="Hyperlink"/>
            <w:rFonts w:cs="Arial"/>
            <w:sz w:val="18"/>
            <w:szCs w:val="18"/>
          </w:rPr>
          <w:t>http://www.ndcs.org.uk/document.rm?id=9393</w:t>
        </w:r>
      </w:hyperlink>
    </w:p>
    <w:p w14:paraId="77FF39EA" w14:textId="77777777" w:rsidR="00FE5F1E" w:rsidRPr="009541B6" w:rsidRDefault="00FE5F1E" w:rsidP="00FE5F1E">
      <w:pPr>
        <w:pStyle w:val="EndnoteText"/>
        <w:contextualSpacing/>
        <w:rPr>
          <w:rFonts w:cs="Arial"/>
          <w:sz w:val="18"/>
          <w:szCs w:val="18"/>
        </w:rPr>
      </w:pPr>
    </w:p>
  </w:endnote>
  <w:endnote w:id="36">
    <w:p w14:paraId="155DCE75" w14:textId="3E17A87C"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00CB1159">
        <w:rPr>
          <w:rFonts w:cs="Arial"/>
          <w:sz w:val="18"/>
          <w:szCs w:val="18"/>
        </w:rPr>
        <w:t xml:space="preserve">These can be reviewed in: </w:t>
      </w:r>
      <w:r w:rsidRPr="009541B6">
        <w:rPr>
          <w:rFonts w:cs="Arial"/>
          <w:sz w:val="18"/>
          <w:szCs w:val="18"/>
          <w:lang w:val="en-US"/>
        </w:rPr>
        <w:t>Monitor, 2015. NHS adult hearing services in England: exploring how choice is working for patients, p.32</w:t>
      </w:r>
      <w:r w:rsidR="00CB1159">
        <w:rPr>
          <w:rFonts w:cs="Arial"/>
          <w:sz w:val="18"/>
          <w:szCs w:val="18"/>
          <w:lang w:val="en-US"/>
        </w:rPr>
        <w:t>. If NICE would like the original DoH document we would be happy to forward this.</w:t>
      </w:r>
    </w:p>
    <w:p w14:paraId="4AC60923" w14:textId="77777777" w:rsidR="00FE5F1E" w:rsidRPr="009541B6" w:rsidRDefault="00FE5F1E" w:rsidP="00FE5F1E">
      <w:pPr>
        <w:pStyle w:val="EndnoteText"/>
        <w:contextualSpacing/>
        <w:rPr>
          <w:rFonts w:cs="Arial"/>
          <w:sz w:val="18"/>
          <w:szCs w:val="18"/>
        </w:rPr>
      </w:pPr>
    </w:p>
  </w:endnote>
  <w:endnote w:id="37">
    <w:p w14:paraId="2A596B1E"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lang w:val="en-US"/>
        </w:rPr>
        <w:t xml:space="preserve"> Monitor, 2015. NHS adult hearing services in England: exploring how choice is working for patients, p.</w:t>
      </w:r>
      <w:r w:rsidRPr="009541B6">
        <w:rPr>
          <w:rFonts w:cs="Arial"/>
          <w:sz w:val="18"/>
          <w:szCs w:val="18"/>
        </w:rPr>
        <w:t xml:space="preserve"> 32-33</w:t>
      </w:r>
    </w:p>
    <w:p w14:paraId="436F2ADA" w14:textId="77777777" w:rsidR="00FE5F1E" w:rsidRPr="009541B6" w:rsidRDefault="00FE5F1E" w:rsidP="00FE5F1E">
      <w:pPr>
        <w:pStyle w:val="EndnoteText"/>
        <w:contextualSpacing/>
        <w:rPr>
          <w:rFonts w:cs="Arial"/>
          <w:sz w:val="18"/>
          <w:szCs w:val="18"/>
        </w:rPr>
      </w:pPr>
    </w:p>
  </w:endnote>
  <w:endnote w:id="38">
    <w:p w14:paraId="1ACBB594" w14:textId="77777777" w:rsidR="00FE5F1E" w:rsidRPr="009541B6" w:rsidRDefault="00FE5F1E" w:rsidP="00FE5F1E">
      <w:pPr>
        <w:pStyle w:val="EndnoteText"/>
        <w:contextualSpacing/>
        <w:rPr>
          <w:rFonts w:cs="Arial"/>
          <w:color w:val="333132"/>
          <w:sz w:val="18"/>
          <w:szCs w:val="18"/>
        </w:rPr>
      </w:pPr>
      <w:r w:rsidRPr="009541B6">
        <w:rPr>
          <w:rStyle w:val="EndnoteReference"/>
          <w:rFonts w:cs="Arial"/>
          <w:sz w:val="18"/>
          <w:szCs w:val="18"/>
        </w:rPr>
        <w:endnoteRef/>
      </w:r>
      <w:r w:rsidRPr="009541B6">
        <w:rPr>
          <w:rFonts w:cs="Arial"/>
          <w:sz w:val="18"/>
          <w:szCs w:val="18"/>
        </w:rPr>
        <w:t xml:space="preserve"> </w:t>
      </w:r>
      <w:r w:rsidRPr="009541B6">
        <w:rPr>
          <w:rFonts w:cs="Arial"/>
          <w:color w:val="333132"/>
          <w:sz w:val="18"/>
          <w:szCs w:val="18"/>
        </w:rPr>
        <w:t>Johnson, J. et al., (1984). “A survey of National Health Service hearing aid services. An RNID Scientific and Technical Department Report”. RNID, London; RNID, Age Concern and British Association of the Hard of Hearing (1986) Breaking the Sound Barrier; RNID (1988) “Hearing aids the case for change”. London; RNID (1999) “Waiting to hear? A report on waiting times for hearing tests” RNID, London; Audit Commission, (2000). “Fully equipped: the provision of equipment to older or disabled people by the NHS and social services in England and Wales” Audit Commission, London; Jayarajan, V. and Rangan, S. 2000. Evaluation of hearing-aid provision in adults. Journal of Audiological Medicine, 9(1), pp. 25-34; RNID (2001) “Audiology in crisis, still waiting to hear”. RNID, London; Health Committee (2007) “Audiology Services, Fifth report of session 2006-07” London, HC; Matthews, L. (2011) “Seen but not heard: People with hearing loss are not receiving the support they need”. London, RNID; Action on Hearing Loss (2011) “Hearing Matters”, London.  </w:t>
      </w:r>
      <w:r w:rsidRPr="009541B6">
        <w:rPr>
          <w:rFonts w:cs="Arial"/>
          <w:color w:val="333132"/>
          <w:sz w:val="18"/>
          <w:szCs w:val="18"/>
          <w:vertAlign w:val="superscript"/>
        </w:rPr>
        <w:t>3</w:t>
      </w:r>
      <w:r w:rsidRPr="009541B6">
        <w:rPr>
          <w:rFonts w:cs="Arial"/>
          <w:color w:val="333132"/>
          <w:sz w:val="18"/>
          <w:szCs w:val="18"/>
        </w:rPr>
        <w:t>Davis, A. (2005). “Effective ways for implementing research in a clinical environment: benefits, barriers and future challenges” in P. Littlejohns 2005. “Delivering Quality in the NHS” 12955 33 2005. Oxon: Radcliffe Publishing Ltd.</w:t>
      </w:r>
    </w:p>
    <w:p w14:paraId="1401B414" w14:textId="77777777" w:rsidR="00FE5F1E" w:rsidRPr="009541B6" w:rsidRDefault="00FE5F1E" w:rsidP="00FE5F1E">
      <w:pPr>
        <w:pStyle w:val="EndnoteText"/>
        <w:contextualSpacing/>
        <w:rPr>
          <w:rFonts w:cs="Arial"/>
          <w:sz w:val="18"/>
          <w:szCs w:val="18"/>
        </w:rPr>
      </w:pPr>
    </w:p>
  </w:endnote>
  <w:endnote w:id="39">
    <w:p w14:paraId="2066176B" w14:textId="07E58FDC"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Department of Health (2010) Impact Ass</w:t>
      </w:r>
      <w:r w:rsidR="00717FE8">
        <w:rPr>
          <w:rFonts w:cs="Arial"/>
          <w:sz w:val="18"/>
          <w:szCs w:val="18"/>
        </w:rPr>
        <w:t>essment Any Qualified Provider (</w:t>
      </w:r>
      <w:hyperlink r:id="rId22" w:history="1">
        <w:r w:rsidR="00717FE8" w:rsidRPr="00717FE8">
          <w:rPr>
            <w:rStyle w:val="Hyperlink"/>
            <w:rFonts w:cs="Arial"/>
            <w:sz w:val="18"/>
            <w:szCs w:val="18"/>
          </w:rPr>
          <w:t>here</w:t>
        </w:r>
      </w:hyperlink>
      <w:r w:rsidR="00717FE8">
        <w:rPr>
          <w:rFonts w:cs="Arial"/>
          <w:sz w:val="18"/>
          <w:szCs w:val="18"/>
        </w:rPr>
        <w:t>)</w:t>
      </w:r>
    </w:p>
    <w:p w14:paraId="079D2789" w14:textId="77777777" w:rsidR="00FE5F1E" w:rsidRPr="009541B6" w:rsidRDefault="00FE5F1E" w:rsidP="00FE5F1E">
      <w:pPr>
        <w:pStyle w:val="EndnoteText"/>
        <w:contextualSpacing/>
        <w:rPr>
          <w:rFonts w:cs="Arial"/>
          <w:sz w:val="18"/>
          <w:szCs w:val="18"/>
        </w:rPr>
      </w:pPr>
    </w:p>
  </w:endnote>
  <w:endnote w:id="40">
    <w:p w14:paraId="33026712"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SEE: </w:t>
      </w:r>
      <w:r w:rsidRPr="009541B6">
        <w:rPr>
          <w:rFonts w:cs="Arial"/>
          <w:color w:val="333132"/>
          <w:sz w:val="18"/>
          <w:szCs w:val="18"/>
        </w:rPr>
        <w:t xml:space="preserve">Johnson, J. et al., (1984). “A survey of National Health Service hearing aid services. An RNID Scientific and Technical Department Report”. RNID, London; RNID, Age Concern and British Association of the Hard of Hearing (1986) Breaking the Sound Barrier; RNID (1988) “Hearing aids the case for change”. London; RNID (1999) “Waiting to hear? A report on waiting times for hearing tests” RNID, London; Audit Commission, (2000). “Fully equipped: the provision of equipment to older or disabled people by the NHS and social services in England and Wales” Audit Commission, London; Jayarajan, V. and Rangan, S. 2000. Evaluation of hearing-aid provision in adults. Journal of Audiological Medicine, 9(1), pp. 25-34; RNID (2001) “Audiology in crisis, still waiting to hear”. RNID, London; </w:t>
      </w:r>
      <w:r w:rsidRPr="009541B6">
        <w:rPr>
          <w:rFonts w:cs="Arial"/>
          <w:sz w:val="18"/>
          <w:szCs w:val="18"/>
        </w:rPr>
        <w:t xml:space="preserve">Department of Health, 2007. Improving Access to Audiology Services in England. Leeds: Department of Health; Department of Health, 2007. Evidence Submission to Health Select Committee. pp.74-75 in Health Committee, House of Commons, 2007. Audiology Services. (HC 392, Fifth Report of Session 2006-7) – Report, together with formal minutes, oral and written evidence. London: The Stationary Office Limited; Health Committee, House of Commons, 2007. Audiology Services. (HC 392, Fifth Report of Session 2006-7) – Report, together with formal minutes, oral and written evidence. London: The Stationary Office Limited; Ross, L. 2008. Modernizing times: UK hearing-impaired consumers at the policy crossroads.  International Journal of Consumer Studies, 32 (2), pp. 122-127; NHS Improvement, 2011. NHS Improvement: The best of clinical pathway redesign. Practical examples delivering benefits to patients. Leicester: NHS Improvement; Hind et al. 2011. </w:t>
      </w:r>
      <w:r w:rsidRPr="009541B6">
        <w:rPr>
          <w:rFonts w:cs="Arial"/>
          <w:sz w:val="18"/>
          <w:szCs w:val="18"/>
          <w:lang w:val="en-US"/>
        </w:rPr>
        <w:t>Prevalence of clinical referrals having hearing thresholds within normal limits. International Journal of Audiology 2011; 50: 708–716;</w:t>
      </w:r>
      <w:r w:rsidRPr="009541B6">
        <w:rPr>
          <w:rFonts w:cs="Arial"/>
          <w:sz w:val="18"/>
          <w:szCs w:val="18"/>
        </w:rPr>
        <w:t xml:space="preserve"> Hind et al. 2011. </w:t>
      </w:r>
      <w:r w:rsidRPr="009541B6">
        <w:rPr>
          <w:rFonts w:cs="Arial"/>
          <w:sz w:val="18"/>
          <w:szCs w:val="18"/>
          <w:lang w:val="en-US"/>
        </w:rPr>
        <w:t xml:space="preserve">Prevalence of clinical referrals having hearing thresholds within normal limits. International Journal of Audiology 2011; 50: 708–716; </w:t>
      </w:r>
      <w:r w:rsidRPr="009541B6">
        <w:rPr>
          <w:rFonts w:cs="Arial"/>
          <w:sz w:val="18"/>
          <w:szCs w:val="18"/>
        </w:rPr>
        <w:t>Lowe, C (2015) “Under Pressure: NHS Audiology Across the UK.” London, Action on Hearing Loss. </w:t>
      </w:r>
    </w:p>
    <w:p w14:paraId="7E38EF22" w14:textId="77777777" w:rsidR="00FE5F1E" w:rsidRPr="009541B6" w:rsidRDefault="00FE5F1E" w:rsidP="00FE5F1E">
      <w:pPr>
        <w:pStyle w:val="EndnoteText"/>
        <w:contextualSpacing/>
        <w:rPr>
          <w:rFonts w:cs="Arial"/>
          <w:sz w:val="18"/>
          <w:szCs w:val="18"/>
        </w:rPr>
      </w:pPr>
    </w:p>
  </w:endnote>
  <w:endnote w:id="41">
    <w:p w14:paraId="693AE422"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p.21</w:t>
      </w:r>
    </w:p>
    <w:p w14:paraId="134EE510" w14:textId="77777777" w:rsidR="00FE5F1E" w:rsidRPr="009541B6" w:rsidRDefault="00FE5F1E" w:rsidP="00FE5F1E">
      <w:pPr>
        <w:pStyle w:val="EndnoteText"/>
        <w:contextualSpacing/>
        <w:rPr>
          <w:rFonts w:cs="Arial"/>
          <w:sz w:val="18"/>
          <w:szCs w:val="18"/>
          <w:lang w:val="en-US"/>
        </w:rPr>
      </w:pPr>
    </w:p>
  </w:endnote>
  <w:endnote w:id="42">
    <w:p w14:paraId="54B66230"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p.5</w:t>
      </w:r>
    </w:p>
    <w:p w14:paraId="73E1C14C" w14:textId="77777777" w:rsidR="00FE5F1E" w:rsidRPr="009541B6" w:rsidRDefault="00FE5F1E" w:rsidP="00FE5F1E">
      <w:pPr>
        <w:pStyle w:val="EndnoteText"/>
        <w:contextualSpacing/>
        <w:rPr>
          <w:rFonts w:cs="Arial"/>
          <w:sz w:val="18"/>
          <w:szCs w:val="18"/>
          <w:lang w:val="en-US"/>
        </w:rPr>
      </w:pPr>
    </w:p>
  </w:endnote>
  <w:endnote w:id="43">
    <w:p w14:paraId="36C17619"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p.21</w:t>
      </w:r>
    </w:p>
    <w:p w14:paraId="36DC6FBB" w14:textId="77777777" w:rsidR="00FE5F1E" w:rsidRPr="009541B6" w:rsidRDefault="00FE5F1E" w:rsidP="00FE5F1E">
      <w:pPr>
        <w:pStyle w:val="EndnoteText"/>
        <w:contextualSpacing/>
        <w:rPr>
          <w:rFonts w:cs="Arial"/>
          <w:sz w:val="18"/>
          <w:szCs w:val="18"/>
          <w:lang w:val="en-US"/>
        </w:rPr>
      </w:pPr>
    </w:p>
  </w:endnote>
  <w:endnote w:id="44">
    <w:p w14:paraId="41B719D2"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w:t>
      </w:r>
    </w:p>
    <w:p w14:paraId="286672AB" w14:textId="77777777" w:rsidR="00FE5F1E" w:rsidRPr="009541B6" w:rsidRDefault="00FE5F1E" w:rsidP="00FE5F1E">
      <w:pPr>
        <w:pStyle w:val="EndnoteText"/>
        <w:contextualSpacing/>
        <w:rPr>
          <w:rFonts w:cs="Arial"/>
          <w:sz w:val="18"/>
          <w:szCs w:val="18"/>
        </w:rPr>
      </w:pPr>
    </w:p>
  </w:endnote>
  <w:endnote w:id="45">
    <w:p w14:paraId="7D49DABE"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NHS England and Department of Health, 2015. Action Plan on Hearing Loss, p. 11</w:t>
      </w:r>
    </w:p>
    <w:p w14:paraId="155995F3" w14:textId="77777777" w:rsidR="00FE5F1E" w:rsidRPr="009541B6" w:rsidRDefault="00FE5F1E" w:rsidP="00FE5F1E">
      <w:pPr>
        <w:pStyle w:val="EndnoteText"/>
        <w:contextualSpacing/>
        <w:rPr>
          <w:rFonts w:cs="Arial"/>
          <w:sz w:val="18"/>
          <w:szCs w:val="18"/>
        </w:rPr>
      </w:pPr>
    </w:p>
  </w:endnote>
  <w:endnote w:id="46">
    <w:p w14:paraId="28DA468C"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RNID, 1999. Waiting to Hear. London p. 21; </w:t>
      </w:r>
    </w:p>
    <w:p w14:paraId="58D13656" w14:textId="77777777" w:rsidR="00FE5F1E" w:rsidRPr="009541B6" w:rsidRDefault="00FE5F1E" w:rsidP="00FE5F1E">
      <w:pPr>
        <w:pStyle w:val="EndnoteText"/>
        <w:contextualSpacing/>
        <w:rPr>
          <w:rFonts w:cs="Arial"/>
          <w:sz w:val="18"/>
          <w:szCs w:val="18"/>
        </w:rPr>
      </w:pPr>
    </w:p>
  </w:endnote>
  <w:endnote w:id="47">
    <w:p w14:paraId="6D1E5409"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Action on Hearing Loss, 2011. Hearing Matters. P.68</w:t>
      </w:r>
    </w:p>
    <w:p w14:paraId="3F8AD275" w14:textId="77777777" w:rsidR="00FE5F1E" w:rsidRPr="009541B6" w:rsidRDefault="00FE5F1E" w:rsidP="00FE5F1E">
      <w:pPr>
        <w:pStyle w:val="EndnoteText"/>
        <w:contextualSpacing/>
        <w:rPr>
          <w:rFonts w:cs="Arial"/>
          <w:sz w:val="18"/>
          <w:szCs w:val="18"/>
        </w:rPr>
      </w:pPr>
    </w:p>
  </w:endnote>
  <w:endnote w:id="48">
    <w:p w14:paraId="4BB8AFA4"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w:t>
      </w:r>
      <w:r w:rsidRPr="009541B6">
        <w:rPr>
          <w:rFonts w:cs="Arial"/>
          <w:color w:val="262626"/>
          <w:sz w:val="18"/>
          <w:szCs w:val="18"/>
        </w:rPr>
        <w:t>Reeves, D.J. et al., 2000, Community provision of hearing aids and related audiology services, Health technology assessment (Winchester, England), vol. 4, no. 4</w:t>
      </w:r>
    </w:p>
    <w:p w14:paraId="0736F7F4" w14:textId="77777777" w:rsidR="00FE5F1E" w:rsidRPr="009541B6" w:rsidRDefault="00FE5F1E" w:rsidP="00FE5F1E">
      <w:pPr>
        <w:pStyle w:val="EndnoteText"/>
        <w:contextualSpacing/>
        <w:rPr>
          <w:rFonts w:cs="Arial"/>
          <w:sz w:val="18"/>
          <w:szCs w:val="18"/>
          <w:lang w:val="en-US"/>
        </w:rPr>
      </w:pPr>
    </w:p>
  </w:endnote>
  <w:endnote w:id="49">
    <w:p w14:paraId="62D30928" w14:textId="77777777" w:rsidR="00FE5F1E" w:rsidRPr="009541B6" w:rsidRDefault="00FE5F1E" w:rsidP="00FE5F1E">
      <w:pPr>
        <w:pStyle w:val="EndnoteText"/>
        <w:contextualSpacing/>
        <w:rPr>
          <w:rFonts w:cs="Arial"/>
          <w:sz w:val="18"/>
          <w:szCs w:val="18"/>
          <w:lang w:val="en-US"/>
        </w:rPr>
      </w:pPr>
      <w:r w:rsidRPr="009541B6">
        <w:rPr>
          <w:rStyle w:val="EndnoteReference"/>
          <w:rFonts w:cs="Arial"/>
          <w:sz w:val="18"/>
          <w:szCs w:val="18"/>
        </w:rPr>
        <w:endnoteRef/>
      </w:r>
      <w:r w:rsidRPr="009541B6">
        <w:rPr>
          <w:rFonts w:cs="Arial"/>
          <w:sz w:val="18"/>
          <w:szCs w:val="18"/>
        </w:rPr>
        <w:t xml:space="preserve"> </w:t>
      </w:r>
      <w:r w:rsidRPr="009541B6">
        <w:rPr>
          <w:rFonts w:cs="Arial"/>
          <w:sz w:val="18"/>
          <w:szCs w:val="18"/>
          <w:lang w:val="en-US"/>
        </w:rPr>
        <w:t>Monitor, 2015. NHS adult hearing services in England: exploring how choice is working for patients, p. 4</w:t>
      </w:r>
    </w:p>
    <w:p w14:paraId="5513223D" w14:textId="77777777" w:rsidR="00FE5F1E" w:rsidRPr="009541B6" w:rsidRDefault="00FE5F1E" w:rsidP="00FE5F1E">
      <w:pPr>
        <w:pStyle w:val="EndnoteText"/>
        <w:contextualSpacing/>
        <w:rPr>
          <w:rFonts w:cs="Arial"/>
          <w:sz w:val="18"/>
          <w:szCs w:val="18"/>
        </w:rPr>
      </w:pPr>
    </w:p>
  </w:endnote>
  <w:endnote w:id="50">
    <w:p w14:paraId="5A156EC7"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NHS England and Department of Health, 2015. Action Plan on Hearing Loss, p. 11</w:t>
      </w:r>
    </w:p>
    <w:p w14:paraId="0347A25C" w14:textId="77777777" w:rsidR="00FE5F1E" w:rsidRPr="009541B6" w:rsidRDefault="00FE5F1E" w:rsidP="00FE5F1E">
      <w:pPr>
        <w:pStyle w:val="EndnoteText"/>
        <w:contextualSpacing/>
        <w:rPr>
          <w:rFonts w:cs="Arial"/>
          <w:sz w:val="18"/>
          <w:szCs w:val="18"/>
        </w:rPr>
      </w:pPr>
    </w:p>
  </w:endnote>
  <w:endnote w:id="51">
    <w:p w14:paraId="6E2C63A2" w14:textId="77777777" w:rsidR="00FE5F1E" w:rsidRPr="009541B6" w:rsidRDefault="00FE5F1E" w:rsidP="00FE5F1E">
      <w:pPr>
        <w:pStyle w:val="EndnoteText"/>
        <w:contextualSpacing/>
        <w:rPr>
          <w:rFonts w:cs="Arial"/>
          <w:sz w:val="18"/>
          <w:szCs w:val="18"/>
        </w:rPr>
      </w:pPr>
      <w:r w:rsidRPr="009541B6">
        <w:rPr>
          <w:rStyle w:val="EndnoteReference"/>
          <w:rFonts w:cs="Arial"/>
          <w:sz w:val="18"/>
          <w:szCs w:val="18"/>
        </w:rPr>
        <w:endnoteRef/>
      </w:r>
      <w:r w:rsidRPr="009541B6">
        <w:rPr>
          <w:rFonts w:cs="Arial"/>
          <w:sz w:val="18"/>
          <w:szCs w:val="18"/>
        </w:rPr>
        <w:t xml:space="preserve"> SEE: </w:t>
      </w:r>
      <w:r w:rsidRPr="009541B6">
        <w:rPr>
          <w:rFonts w:cs="Arial"/>
          <w:color w:val="333132"/>
          <w:sz w:val="18"/>
          <w:szCs w:val="18"/>
        </w:rPr>
        <w:t xml:space="preserve">Johnson, J. et al., (1984). “A survey of National Health Service hearing aid services. An RNID Scientific and Technical Department Report”. RNID, London; RNID, Age Concern and British Association of the Hard of Hearing (1986) Breaking the Sound Barrier; RNID (1988) “Hearing aids the case for change”. London; RNID (1999) “Waiting to hear? A report on waiting times for hearing tests” RNID, London; Audit Commission, (2000). “Fully equipped: the provision of equipment to older or disabled people by the NHS and social services in England and Wales” Audit Commission, London; Jayarajan, V. and Rangan, S. 2000. Evaluation of hearing-aid provision in adults. Journal of Audiological Medicine, 9(1), pp. 25-34; RNID (2001) “Audiology in crisis, still waiting to hear”. RNID, London; </w:t>
      </w:r>
      <w:r w:rsidRPr="009541B6">
        <w:rPr>
          <w:rFonts w:cs="Arial"/>
          <w:sz w:val="18"/>
          <w:szCs w:val="18"/>
        </w:rPr>
        <w:t xml:space="preserve">Department of Health, 2007. Improving Access to Audiology Services in England. Leeds: Department of Health; Department of Health, 2007. Evidence Submission to Health Select Committee. pp.74-75 in Health Committee, House of Commons, 2007. Audiology Services. (HC 392, Fifth Report of Session 2006-7) – Report, together with formal minutes, oral and written evidence. London: The Stationary Office Limited; Health Committee, House of Commons, 2007. Audiology Services. (HC 392, Fifth Report of Session 2006-7) – Report, together with formal minutes, oral and written evidence. London: The Stationary Office Limited; Ross, L. 2008. Modernizing times: UK hearing-impaired consumers at the policy crossroads.  International Journal of Consumer Studies, 32 (2), pp. 122-127; NHS Improvement, 2011. NHS Improvement: The best of clinical pathway redesign. Practical examples delivering benefits to patients. Leicester: NHS Improvement; Hind et al. 2011. </w:t>
      </w:r>
      <w:r w:rsidRPr="009541B6">
        <w:rPr>
          <w:rFonts w:cs="Arial"/>
          <w:sz w:val="18"/>
          <w:szCs w:val="18"/>
          <w:lang w:val="en-US"/>
        </w:rPr>
        <w:t>Prevalence of clinical referrals having hearing thresholds within normal limits. International Journal of Audiology 2011; 50: 708–716;</w:t>
      </w:r>
      <w:r w:rsidRPr="009541B6">
        <w:rPr>
          <w:rFonts w:cs="Arial"/>
          <w:sz w:val="18"/>
          <w:szCs w:val="18"/>
        </w:rPr>
        <w:t xml:space="preserve"> Hind et al. 2011. </w:t>
      </w:r>
      <w:r w:rsidRPr="009541B6">
        <w:rPr>
          <w:rFonts w:cs="Arial"/>
          <w:sz w:val="18"/>
          <w:szCs w:val="18"/>
          <w:lang w:val="en-US"/>
        </w:rPr>
        <w:t xml:space="preserve">Prevalence of clinical referrals having hearing thresholds within normal limits. International Journal of Audiology 2011; 50: 708–716; </w:t>
      </w:r>
      <w:r w:rsidRPr="009541B6">
        <w:rPr>
          <w:rFonts w:cs="Arial"/>
          <w:sz w:val="18"/>
          <w:szCs w:val="18"/>
        </w:rPr>
        <w:t xml:space="preserve">Lowe, C (2015) “Under Pressure: NHS Audiology Across the UK.” </w:t>
      </w:r>
      <w:r>
        <w:rPr>
          <w:rFonts w:cs="Arial"/>
          <w:sz w:val="18"/>
          <w:szCs w:val="18"/>
        </w:rPr>
        <w:t xml:space="preserve">London, Action on Hearing Loss; </w:t>
      </w:r>
      <w:r w:rsidRPr="009541B6">
        <w:rPr>
          <w:rFonts w:cs="Arial"/>
          <w:sz w:val="18"/>
          <w:szCs w:val="18"/>
          <w:lang w:val="en-US"/>
        </w:rPr>
        <w:t>Monitor, 2015. NHS adult hearing services in England: exploring how choice is working for patients</w:t>
      </w:r>
    </w:p>
    <w:p w14:paraId="37F7313F" w14:textId="77777777" w:rsidR="00FE5F1E" w:rsidRPr="009541B6" w:rsidRDefault="00FE5F1E" w:rsidP="00FE5F1E">
      <w:pPr>
        <w:pStyle w:val="EndnoteText"/>
        <w:contextualSpacing/>
        <w:rPr>
          <w:rFonts w:cs="Arial"/>
          <w:sz w:val="18"/>
          <w:szCs w:val="18"/>
        </w:rPr>
      </w:pPr>
    </w:p>
    <w:p w14:paraId="2128FDF4" w14:textId="77777777" w:rsidR="00FE5F1E" w:rsidRPr="009541B6" w:rsidRDefault="00FE5F1E" w:rsidP="00FE5F1E">
      <w:pPr>
        <w:pStyle w:val="EndnoteText"/>
        <w:contextualSpacing/>
        <w:rPr>
          <w:rFonts w:cs="Arial"/>
          <w:sz w:val="18"/>
          <w:szCs w:val="18"/>
        </w:rPr>
      </w:pPr>
    </w:p>
  </w:endnote>
  <w:endnote w:id="52">
    <w:p w14:paraId="3CA338BB" w14:textId="77777777" w:rsidR="00FE5F1E" w:rsidRPr="00EA1D68" w:rsidRDefault="00FE5F1E" w:rsidP="00FE5F1E">
      <w:pPr>
        <w:pStyle w:val="EndnoteText"/>
        <w:rPr>
          <w:sz w:val="18"/>
          <w:szCs w:val="18"/>
        </w:rPr>
      </w:pPr>
      <w:r w:rsidRPr="00EA1D68">
        <w:rPr>
          <w:rStyle w:val="EndnoteReference"/>
          <w:sz w:val="18"/>
          <w:szCs w:val="18"/>
        </w:rPr>
        <w:endnoteRef/>
      </w:r>
      <w:r w:rsidRPr="00EA1D68">
        <w:rPr>
          <w:sz w:val="18"/>
          <w:szCs w:val="18"/>
        </w:rPr>
        <w:t xml:space="preserve"> The main reason for visiting an hospital audiology department is for a hearing aid repair. </w:t>
      </w:r>
    </w:p>
    <w:p w14:paraId="5CC43586" w14:textId="77777777" w:rsidR="00FE5F1E" w:rsidRPr="009541B6" w:rsidRDefault="00FE5F1E" w:rsidP="00FE5F1E">
      <w:pPr>
        <w:contextualSpacing/>
        <w:rPr>
          <w:rFonts w:cs="Arial"/>
          <w:sz w:val="18"/>
          <w:szCs w:val="18"/>
        </w:rPr>
      </w:pPr>
      <w:r w:rsidRPr="009541B6">
        <w:rPr>
          <w:rFonts w:cs="Arial"/>
          <w:noProof/>
          <w:sz w:val="18"/>
          <w:szCs w:val="18"/>
          <w:lang w:eastAsia="en-GB"/>
        </w:rPr>
        <w:drawing>
          <wp:inline distT="0" distB="0" distL="0" distR="0" wp14:anchorId="4329BA96" wp14:editId="32E7E4C2">
            <wp:extent cx="5715000" cy="181927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E463C7B" w14:textId="77777777" w:rsidR="00FE5F1E" w:rsidRPr="009541B6" w:rsidRDefault="00FE5F1E" w:rsidP="00FE5F1E">
      <w:pPr>
        <w:contextualSpacing/>
        <w:rPr>
          <w:rFonts w:cs="Arial"/>
          <w:sz w:val="18"/>
          <w:szCs w:val="18"/>
        </w:rPr>
      </w:pPr>
      <w:r w:rsidRPr="009541B6">
        <w:rPr>
          <w:rFonts w:cs="Arial"/>
          <w:sz w:val="18"/>
          <w:szCs w:val="18"/>
        </w:rPr>
        <w:t>Graph: Percentage of adult patient visits that are devoted repairs in each year per audiology service provider (Calculated by dividing total reported activity by the number of submissions (Source: reference cost data 2004-2012).</w:t>
      </w:r>
    </w:p>
    <w:p w14:paraId="178B1C9E" w14:textId="77777777" w:rsidR="00FE5F1E" w:rsidRPr="00EA1D68" w:rsidRDefault="00FE5F1E" w:rsidP="00FE5F1E">
      <w:pPr>
        <w:pStyle w:val="EndnoteText"/>
        <w:rPr>
          <w:lang w:val="en-US"/>
        </w:rPr>
      </w:pPr>
    </w:p>
  </w:endnote>
  <w:endnote w:id="53">
    <w:p w14:paraId="4ED59C75" w14:textId="77777777" w:rsidR="00FE5F1E" w:rsidRPr="00570414" w:rsidRDefault="00FE5F1E" w:rsidP="00FE5F1E">
      <w:pPr>
        <w:pStyle w:val="EndnoteText"/>
        <w:rPr>
          <w:sz w:val="18"/>
          <w:szCs w:val="18"/>
          <w:lang w:val="en-US"/>
        </w:rPr>
      </w:pPr>
      <w:r w:rsidRPr="00570414">
        <w:rPr>
          <w:rStyle w:val="EndnoteReference"/>
          <w:sz w:val="18"/>
          <w:szCs w:val="18"/>
        </w:rPr>
        <w:endnoteRef/>
      </w:r>
      <w:r w:rsidRPr="00570414">
        <w:rPr>
          <w:sz w:val="18"/>
          <w:szCs w:val="18"/>
        </w:rPr>
        <w:t xml:space="preserve"> </w:t>
      </w:r>
      <w:r w:rsidRPr="00570414">
        <w:rPr>
          <w:rFonts w:cs="Arial"/>
          <w:sz w:val="18"/>
          <w:szCs w:val="18"/>
        </w:rPr>
        <w:t xml:space="preserve">Head of audiologists’ view on the advantage of outreach work in 1997 (i.e. care closer to home (source: </w:t>
      </w:r>
      <w:hyperlink r:id="rId24" w:history="1">
        <w:r w:rsidRPr="00570414">
          <w:rPr>
            <w:rStyle w:val="Hyperlink"/>
            <w:rFonts w:cs="Arial"/>
            <w:color w:val="auto"/>
            <w:sz w:val="18"/>
            <w:szCs w:val="18"/>
          </w:rPr>
          <w:t>Reeves et al., 2000</w:t>
        </w:r>
      </w:hyperlink>
      <w:r w:rsidRPr="00570414">
        <w:rPr>
          <w:rFonts w:cs="Arial"/>
          <w:sz w:val="18"/>
          <w:szCs w:val="18"/>
        </w:rPr>
        <w:t>)</w:t>
      </w:r>
    </w:p>
    <w:p w14:paraId="73E02425" w14:textId="77777777" w:rsidR="00FE5F1E" w:rsidRPr="00570414" w:rsidRDefault="00FE5F1E" w:rsidP="00FE5F1E">
      <w:pPr>
        <w:pStyle w:val="EndnoteText"/>
        <w:rPr>
          <w:sz w:val="18"/>
          <w:szCs w:val="18"/>
          <w:lang w:val="en-US"/>
        </w:rPr>
      </w:pPr>
    </w:p>
  </w:endnote>
  <w:endnote w:id="54">
    <w:p w14:paraId="78D79201" w14:textId="77777777" w:rsidR="00FE5F1E" w:rsidRPr="00570414" w:rsidRDefault="00FE5F1E" w:rsidP="00FE5F1E">
      <w:pPr>
        <w:pStyle w:val="EndnoteText"/>
        <w:rPr>
          <w:sz w:val="18"/>
          <w:szCs w:val="18"/>
        </w:rPr>
      </w:pPr>
      <w:r w:rsidRPr="00570414">
        <w:rPr>
          <w:rStyle w:val="EndnoteReference"/>
          <w:sz w:val="18"/>
          <w:szCs w:val="18"/>
        </w:rPr>
        <w:endnoteRef/>
      </w:r>
      <w:r w:rsidRPr="00570414">
        <w:rPr>
          <w:sz w:val="18"/>
          <w:szCs w:val="18"/>
        </w:rPr>
        <w:t xml:space="preserve"> See infographic and notes at:  </w:t>
      </w:r>
      <w:hyperlink r:id="rId25" w:history="1">
        <w:r w:rsidRPr="00570414">
          <w:rPr>
            <w:rStyle w:val="Hyperlink"/>
            <w:sz w:val="18"/>
            <w:szCs w:val="18"/>
          </w:rPr>
          <w:t>http://www.the-ncha.com/data/</w:t>
        </w:r>
      </w:hyperlink>
      <w:r w:rsidRPr="00570414">
        <w:rPr>
          <w:sz w:val="18"/>
          <w:szCs w:val="18"/>
        </w:rPr>
        <w:t xml:space="preserve"> </w:t>
      </w:r>
    </w:p>
    <w:p w14:paraId="0109263B" w14:textId="77777777" w:rsidR="00FE5F1E" w:rsidRPr="00570414" w:rsidRDefault="00FE5F1E" w:rsidP="00FE5F1E">
      <w:pPr>
        <w:pStyle w:val="EndnoteText"/>
        <w:rPr>
          <w:sz w:val="18"/>
          <w:szCs w:val="18"/>
        </w:rPr>
      </w:pPr>
    </w:p>
  </w:endnote>
  <w:endnote w:id="55">
    <w:p w14:paraId="776AD155" w14:textId="73737915" w:rsidR="00763290" w:rsidRPr="00570414" w:rsidRDefault="00763290">
      <w:pPr>
        <w:pStyle w:val="EndnoteText"/>
        <w:rPr>
          <w:sz w:val="18"/>
          <w:szCs w:val="18"/>
        </w:rPr>
      </w:pPr>
      <w:r w:rsidRPr="00570414">
        <w:rPr>
          <w:rStyle w:val="EndnoteReference"/>
          <w:sz w:val="18"/>
          <w:szCs w:val="18"/>
        </w:rPr>
        <w:endnoteRef/>
      </w:r>
      <w:r w:rsidRPr="00570414">
        <w:rPr>
          <w:sz w:val="18"/>
          <w:szCs w:val="18"/>
        </w:rPr>
        <w:t xml:space="preserve"> </w:t>
      </w:r>
      <w:r w:rsidRPr="00570414">
        <w:rPr>
          <w:rFonts w:cs="Arial"/>
          <w:sz w:val="18"/>
          <w:szCs w:val="18"/>
          <w:lang w:val="en-US"/>
        </w:rPr>
        <w:t>Monitor, 2015. NHS adult hearing services in England: exploring how choice is working for patients</w:t>
      </w:r>
    </w:p>
    <w:p w14:paraId="604D7543" w14:textId="77777777" w:rsidR="00763290" w:rsidRPr="00570414" w:rsidRDefault="00763290">
      <w:pPr>
        <w:pStyle w:val="EndnoteText"/>
        <w:rPr>
          <w:sz w:val="18"/>
          <w:szCs w:val="18"/>
        </w:rPr>
      </w:pPr>
    </w:p>
  </w:endnote>
  <w:endnote w:id="56">
    <w:p w14:paraId="570C4E45" w14:textId="77777777" w:rsidR="00554469" w:rsidRPr="00570414" w:rsidRDefault="00554469" w:rsidP="00554469">
      <w:pPr>
        <w:pStyle w:val="EndnoteText"/>
        <w:contextualSpacing/>
        <w:rPr>
          <w:rFonts w:cs="Arial"/>
          <w:sz w:val="18"/>
          <w:szCs w:val="18"/>
        </w:rPr>
      </w:pPr>
      <w:r w:rsidRPr="00570414">
        <w:rPr>
          <w:rStyle w:val="EndnoteReference"/>
          <w:rFonts w:cs="Arial"/>
          <w:sz w:val="18"/>
          <w:szCs w:val="18"/>
        </w:rPr>
        <w:endnoteRef/>
      </w:r>
      <w:r w:rsidRPr="00570414">
        <w:rPr>
          <w:rFonts w:cs="Arial"/>
          <w:sz w:val="18"/>
          <w:szCs w:val="18"/>
        </w:rPr>
        <w:t xml:space="preserve"> NHS England and Department of Health (2015) Action Plan on Hearing Loss, p.19-20. </w:t>
      </w:r>
    </w:p>
    <w:p w14:paraId="0E2386AF" w14:textId="77777777" w:rsidR="00554469" w:rsidRPr="00570414" w:rsidRDefault="00BB4271" w:rsidP="00554469">
      <w:pPr>
        <w:pStyle w:val="EndnoteText"/>
        <w:contextualSpacing/>
        <w:rPr>
          <w:rFonts w:cs="Arial"/>
          <w:sz w:val="18"/>
          <w:szCs w:val="18"/>
        </w:rPr>
      </w:pPr>
      <w:hyperlink r:id="rId26" w:history="1">
        <w:r w:rsidR="00554469" w:rsidRPr="00570414">
          <w:rPr>
            <w:rStyle w:val="Hyperlink"/>
            <w:rFonts w:cs="Arial"/>
            <w:sz w:val="18"/>
            <w:szCs w:val="18"/>
          </w:rPr>
          <w:t>http://www.england.nhs.uk/wp-content/uploads/2015/03/act-plan-hearing-loss-upd.pdf</w:t>
        </w:r>
      </w:hyperlink>
    </w:p>
    <w:p w14:paraId="03F2AFCF" w14:textId="77777777" w:rsidR="00554469" w:rsidRPr="00570414" w:rsidRDefault="00554469" w:rsidP="00554469">
      <w:pPr>
        <w:pStyle w:val="EndnoteText"/>
        <w:contextualSpacing/>
        <w:rPr>
          <w:rFonts w:cs="Arial"/>
          <w:sz w:val="18"/>
          <w:szCs w:val="18"/>
        </w:rPr>
      </w:pPr>
    </w:p>
  </w:endnote>
  <w:endnote w:id="57">
    <w:p w14:paraId="104F4F93" w14:textId="77777777" w:rsidR="00554469" w:rsidRPr="00570414" w:rsidRDefault="00554469" w:rsidP="00554469">
      <w:pPr>
        <w:contextualSpacing/>
        <w:rPr>
          <w:rFonts w:cs="Arial"/>
          <w:sz w:val="18"/>
          <w:szCs w:val="18"/>
        </w:rPr>
      </w:pPr>
      <w:r w:rsidRPr="00570414">
        <w:rPr>
          <w:rStyle w:val="EndnoteReference"/>
          <w:rFonts w:cs="Arial"/>
          <w:sz w:val="18"/>
          <w:szCs w:val="18"/>
        </w:rPr>
        <w:endnoteRef/>
      </w:r>
      <w:r w:rsidRPr="00570414">
        <w:rPr>
          <w:rFonts w:cs="Arial"/>
          <w:sz w:val="18"/>
          <w:szCs w:val="18"/>
        </w:rPr>
        <w:t xml:space="preserve"> Chisolm, T. et al. 2007. A Systematic Review of Health-Related Quality of Life and Hearing Aids: Final Report of the American Academy of Audiology Task Force on the Health-Related Quality of Life Benefits of Amplification in Adults. Journal of the American Audiology, 18(2), pp. 151-183; Davis, A. et al., 2007. Acceptability, benefit and costs of early screening for hearing disability: a study of potential screening tests and models. </w:t>
      </w:r>
      <w:r w:rsidRPr="00570414">
        <w:rPr>
          <w:rFonts w:cs="Arial"/>
          <w:color w:val="262626"/>
          <w:sz w:val="18"/>
          <w:szCs w:val="18"/>
        </w:rPr>
        <w:t xml:space="preserve">Health technology assessment, 11(42) pp. 75-78; </w:t>
      </w:r>
      <w:r w:rsidRPr="00570414">
        <w:rPr>
          <w:rFonts w:cs="Arial"/>
          <w:sz w:val="18"/>
          <w:szCs w:val="18"/>
        </w:rPr>
        <w:t>Acar, B. et al. 2011. Effects of hearing aids on cognitive functions and depressive signs in elderly people. Archives of Gerontology and Geriatrics, 52(3), pp. 250-252.</w:t>
      </w:r>
    </w:p>
  </w:endnote>
  <w:endnote w:id="58">
    <w:p w14:paraId="4DAC76CB" w14:textId="77777777" w:rsidR="00554469" w:rsidRPr="00570414" w:rsidRDefault="00554469" w:rsidP="00554469">
      <w:pPr>
        <w:pStyle w:val="EndnoteText"/>
        <w:contextualSpacing/>
        <w:rPr>
          <w:rFonts w:cs="Arial"/>
          <w:sz w:val="18"/>
          <w:szCs w:val="18"/>
        </w:rPr>
      </w:pPr>
      <w:r w:rsidRPr="00570414">
        <w:rPr>
          <w:rStyle w:val="EndnoteReference"/>
          <w:rFonts w:cs="Arial"/>
          <w:sz w:val="18"/>
          <w:szCs w:val="18"/>
        </w:rPr>
        <w:endnoteRef/>
      </w:r>
      <w:r w:rsidRPr="00570414">
        <w:rPr>
          <w:rFonts w:cs="Arial"/>
          <w:sz w:val="18"/>
          <w:szCs w:val="18"/>
        </w:rPr>
        <w:t xml:space="preserve"> NHS England and Age UK, 2015, A Practical Guide to Health Ageing </w:t>
      </w:r>
    </w:p>
    <w:p w14:paraId="6C563305" w14:textId="77777777" w:rsidR="00554469" w:rsidRPr="00570414" w:rsidRDefault="00554469" w:rsidP="00554469">
      <w:pPr>
        <w:pStyle w:val="EndnoteText"/>
        <w:contextualSpacing/>
        <w:rPr>
          <w:rFonts w:cs="Arial"/>
          <w:sz w:val="18"/>
          <w:szCs w:val="18"/>
        </w:rPr>
      </w:pPr>
    </w:p>
  </w:endnote>
  <w:endnote w:id="59">
    <w:p w14:paraId="41F02886" w14:textId="77777777" w:rsidR="00554469" w:rsidRPr="00570414" w:rsidRDefault="00554469" w:rsidP="00554469">
      <w:pPr>
        <w:pStyle w:val="EndnoteText"/>
        <w:contextualSpacing/>
        <w:rPr>
          <w:rFonts w:cs="Arial"/>
          <w:sz w:val="18"/>
          <w:szCs w:val="18"/>
        </w:rPr>
      </w:pPr>
      <w:r w:rsidRPr="00570414">
        <w:rPr>
          <w:rStyle w:val="EndnoteReference"/>
          <w:rFonts w:cs="Arial"/>
          <w:sz w:val="18"/>
          <w:szCs w:val="18"/>
        </w:rPr>
        <w:endnoteRef/>
      </w:r>
      <w:r w:rsidRPr="00570414">
        <w:rPr>
          <w:rFonts w:cs="Arial"/>
          <w:sz w:val="18"/>
          <w:szCs w:val="18"/>
        </w:rPr>
        <w:t xml:space="preserve"> NICE, 2013. </w:t>
      </w:r>
      <w:r w:rsidRPr="00570414">
        <w:rPr>
          <w:rFonts w:eastAsia="Times New Roman" w:cs="Arial"/>
          <w:sz w:val="18"/>
          <w:szCs w:val="18"/>
        </w:rPr>
        <w:t xml:space="preserve">Mental wellbeing of older people in care homes. NICE Quality Standard 50. </w:t>
      </w:r>
      <w:r w:rsidRPr="00570414">
        <w:rPr>
          <w:rFonts w:cs="Arial"/>
          <w:sz w:val="18"/>
          <w:szCs w:val="18"/>
        </w:rPr>
        <w:t>pp. 28-31</w:t>
      </w:r>
      <w:r w:rsidRPr="00570414">
        <w:rPr>
          <w:rFonts w:eastAsia="Times New Roman" w:cs="Arial"/>
          <w:sz w:val="18"/>
          <w:szCs w:val="18"/>
        </w:rPr>
        <w:t xml:space="preserve">. </w:t>
      </w:r>
      <w:hyperlink r:id="rId27" w:history="1">
        <w:r w:rsidRPr="00570414">
          <w:rPr>
            <w:rStyle w:val="Hyperlink"/>
            <w:rFonts w:cs="Arial"/>
            <w:sz w:val="18"/>
            <w:szCs w:val="18"/>
          </w:rPr>
          <w:t>https://www.nice.org.uk/guidance/qs50/resources/guidance-mental-wellbeing-of-older-people-in-care-homes-pdf</w:t>
        </w:r>
      </w:hyperlink>
      <w:r w:rsidRPr="00570414">
        <w:rPr>
          <w:rFonts w:cs="Arial"/>
          <w:sz w:val="18"/>
          <w:szCs w:val="18"/>
        </w:rPr>
        <w:t xml:space="preserve"> Accessed 1 February 2015</w:t>
      </w:r>
    </w:p>
    <w:p w14:paraId="354F7120" w14:textId="77777777" w:rsidR="00554469" w:rsidRPr="00570414" w:rsidRDefault="00554469" w:rsidP="00554469">
      <w:pPr>
        <w:pStyle w:val="EndnoteText"/>
        <w:contextualSpacing/>
        <w:rPr>
          <w:rFonts w:cs="Arial"/>
          <w:sz w:val="18"/>
          <w:szCs w:val="18"/>
        </w:rPr>
      </w:pPr>
    </w:p>
  </w:endnote>
  <w:endnote w:id="60">
    <w:p w14:paraId="43B3A74D" w14:textId="77777777" w:rsidR="00554469" w:rsidRPr="00570414" w:rsidRDefault="00554469" w:rsidP="00554469">
      <w:pPr>
        <w:pStyle w:val="EndnoteText"/>
        <w:contextualSpacing/>
        <w:rPr>
          <w:rFonts w:cs="Arial"/>
          <w:sz w:val="18"/>
          <w:szCs w:val="18"/>
        </w:rPr>
      </w:pPr>
      <w:r w:rsidRPr="00570414">
        <w:rPr>
          <w:rStyle w:val="EndnoteReference"/>
          <w:rFonts w:cs="Arial"/>
          <w:sz w:val="18"/>
          <w:szCs w:val="18"/>
        </w:rPr>
        <w:endnoteRef/>
      </w:r>
      <w:r w:rsidRPr="00570414">
        <w:rPr>
          <w:rFonts w:cs="Arial"/>
          <w:sz w:val="18"/>
          <w:szCs w:val="18"/>
        </w:rPr>
        <w:t xml:space="preserve"> See:</w:t>
      </w:r>
      <w:r w:rsidRPr="00570414">
        <w:rPr>
          <w:rFonts w:cs="Arial"/>
          <w:sz w:val="18"/>
          <w:szCs w:val="18"/>
          <w:lang w:val="en-US"/>
        </w:rPr>
        <w:t xml:space="preserve"> Monitor, 2015. NHS adult hearing services in England: exploring how choice is working for patients</w:t>
      </w:r>
    </w:p>
    <w:p w14:paraId="5E26042C" w14:textId="77777777" w:rsidR="00554469" w:rsidRDefault="00554469" w:rsidP="00554469">
      <w:pPr>
        <w:pStyle w:val="EndnoteText"/>
        <w:contextualSpacing/>
        <w:rPr>
          <w:rFonts w:cs="Arial"/>
          <w:sz w:val="18"/>
          <w:szCs w:val="18"/>
        </w:rPr>
      </w:pPr>
    </w:p>
    <w:p w14:paraId="737AE599" w14:textId="77777777" w:rsidR="00554469" w:rsidRPr="00727E5F" w:rsidRDefault="00554469" w:rsidP="00554469">
      <w:pPr>
        <w:pStyle w:val="EndnoteText"/>
        <w:contextualSpacing/>
        <w:rPr>
          <w:rFonts w:cs="Arial"/>
          <w:b/>
          <w:sz w:val="18"/>
          <w:szCs w:val="18"/>
        </w:rPr>
      </w:pPr>
      <w:r w:rsidRPr="00727E5F">
        <w:rPr>
          <w:rFonts w:cs="Arial"/>
          <w:b/>
          <w:sz w:val="18"/>
          <w:szCs w:val="18"/>
        </w:rPr>
        <w:t>END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8673B" w14:textId="77777777" w:rsidR="009E0641" w:rsidRDefault="009E0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FF2E84" w14:textId="77777777" w:rsidR="00EE477E" w:rsidRDefault="00EE477E" w:rsidP="00EE477E">
    <w:pPr>
      <w:rPr>
        <w:sz w:val="18"/>
      </w:rPr>
    </w:pPr>
    <w:r>
      <w:rPr>
        <w:sz w:val="18"/>
      </w:rPr>
      <w:t>Please add extra rows as needed</w:t>
    </w:r>
  </w:p>
  <w:p w14:paraId="5BA86308" w14:textId="77777777" w:rsidR="00EE477E" w:rsidRDefault="00EE477E" w:rsidP="00EE477E">
    <w:pPr>
      <w:tabs>
        <w:tab w:val="left" w:pos="5565"/>
      </w:tabs>
      <w:rPr>
        <w:sz w:val="18"/>
      </w:rPr>
    </w:pPr>
    <w:r>
      <w:rPr>
        <w:sz w:val="18"/>
      </w:rPr>
      <w:tab/>
    </w:r>
  </w:p>
  <w:p w14:paraId="65EC0504" w14:textId="77777777" w:rsidR="00EE477E" w:rsidRPr="00A95714" w:rsidRDefault="00EE477E" w:rsidP="00EE477E">
    <w:pPr>
      <w:rPr>
        <w:color w:val="FF0000"/>
      </w:rPr>
    </w:pPr>
    <w:r>
      <w:rPr>
        <w:szCs w:val="22"/>
      </w:rPr>
      <w:t>Please return to:</w:t>
    </w:r>
    <w:r>
      <w:t xml:space="preserve"> </w:t>
    </w:r>
    <w:r w:rsidRPr="00E816EF">
      <w:rPr>
        <w:b/>
        <w:highlight w:val="lightGray"/>
      </w:rPr>
      <w:t>[insert email address]</w:t>
    </w:r>
    <w:r w:rsidRPr="00A95714">
      <w:rPr>
        <w:color w:val="FF0000"/>
      </w:rPr>
      <w:t xml:space="preserve"> </w:t>
    </w:r>
  </w:p>
  <w:p w14:paraId="2A8965DD" w14:textId="77777777" w:rsidR="00EE477E" w:rsidRDefault="00EE477E" w:rsidP="00EE477E">
    <w:pPr>
      <w:rPr>
        <w:b/>
      </w:rPr>
    </w:pPr>
  </w:p>
  <w:p w14:paraId="741588FA" w14:textId="77777777" w:rsidR="00EE477E" w:rsidRPr="00BD0E2D" w:rsidRDefault="00EE477E" w:rsidP="00EE477E">
    <w:pPr>
      <w:rPr>
        <w:i/>
        <w:sz w:val="20"/>
      </w:rPr>
    </w:pPr>
    <w:r w:rsidRPr="00BD0E2D">
      <w:rPr>
        <w:i/>
        <w:iCs/>
        <w:sz w:val="20"/>
      </w:rPr>
      <w:t>NICE reserves the right to summarise and edit comments received during consultations, or not to publish them at all, where in the reasonable opinion of NICE, the comments are voluminous, publication would be unlawful or publication would be otherwise inappropriate.</w:t>
    </w:r>
  </w:p>
  <w:p w14:paraId="7934D9C6" w14:textId="77777777" w:rsidR="00E66C63" w:rsidRPr="00EE477E" w:rsidRDefault="00E66C63" w:rsidP="00EE47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3CF255" w14:textId="77777777" w:rsidR="009E0641" w:rsidRDefault="009E0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988FD" w14:textId="77777777" w:rsidR="00BB4271" w:rsidRDefault="00BB4271" w:rsidP="00E66C63">
      <w:r>
        <w:separator/>
      </w:r>
    </w:p>
  </w:footnote>
  <w:footnote w:type="continuationSeparator" w:id="0">
    <w:p w14:paraId="79D693A5" w14:textId="77777777" w:rsidR="00BB4271" w:rsidRDefault="00BB4271" w:rsidP="00E66C63">
      <w:r>
        <w:continuationSeparator/>
      </w:r>
    </w:p>
  </w:footnote>
  <w:footnote w:type="continuationNotice" w:id="1">
    <w:p w14:paraId="53EA4899" w14:textId="77777777" w:rsidR="00BB4271" w:rsidRDefault="00BB4271"/>
  </w:footnote>
  <w:footnote w:id="2">
    <w:p w14:paraId="4E74566F" w14:textId="77777777" w:rsidR="00666026" w:rsidRPr="00B01169" w:rsidRDefault="00666026" w:rsidP="00666026">
      <w:pPr>
        <w:pStyle w:val="FootnoteText"/>
        <w:rPr>
          <w:rFonts w:ascii="Arial" w:hAnsi="Arial" w:cs="Arial"/>
          <w:color w:val="000090"/>
          <w:sz w:val="18"/>
          <w:lang w:val="en-US"/>
        </w:rPr>
      </w:pPr>
      <w:r w:rsidRPr="0086119E">
        <w:rPr>
          <w:rStyle w:val="FootnoteReference"/>
        </w:rPr>
        <w:footnoteRef/>
      </w:r>
      <w:r w:rsidRPr="0086119E">
        <w:t xml:space="preserve"> </w:t>
      </w:r>
      <w:r w:rsidRPr="0086119E">
        <w:rPr>
          <w:rFonts w:ascii="Arial" w:hAnsi="Arial" w:cs="Arial"/>
          <w:sz w:val="18"/>
        </w:rPr>
        <w:t xml:space="preserve">At this stage it is not clear how analysts at NICE will control for multiple confounders – e.g. </w:t>
      </w:r>
      <w:r w:rsidRPr="0086119E">
        <w:rPr>
          <w:rFonts w:ascii="Arial" w:hAnsi="Arial" w:cs="Arial"/>
          <w:sz w:val="18"/>
          <w:lang w:val="en-US"/>
        </w:rPr>
        <w:t>it is not clear how CEA will be useful given the broad scope of the guideline because variables such as where a diagnostic test takes place in the patient pathway can have an impact on patient outcomes and thus any ICER. Cost-benefit analysis on the other hand can be used to assess the cost per case diagnosed.</w:t>
      </w:r>
    </w:p>
  </w:footnote>
  <w:footnote w:id="3">
    <w:p w14:paraId="6024B331" w14:textId="77777777" w:rsidR="00FE5F1E" w:rsidRPr="00F651AB" w:rsidRDefault="00FE5F1E" w:rsidP="00FE5F1E">
      <w:pPr>
        <w:pStyle w:val="FootnoteText"/>
        <w:rPr>
          <w:lang w:val="en-US"/>
        </w:rPr>
      </w:pPr>
      <w:r w:rsidRPr="009A0247">
        <w:rPr>
          <w:rStyle w:val="FootnoteReference"/>
        </w:rPr>
        <w:footnoteRef/>
      </w:r>
      <w:r w:rsidRPr="009A0247">
        <w:t xml:space="preserve"> </w:t>
      </w:r>
      <w:r w:rsidRPr="009A0247">
        <w:rPr>
          <w:rFonts w:ascii="Arial" w:hAnsi="Arial" w:cs="Arial"/>
          <w:sz w:val="18"/>
          <w:szCs w:val="16"/>
        </w:rPr>
        <w:t>This is not the case in many areas of diagnostics and therefore we do not believe our example can be generalised.</w:t>
      </w:r>
    </w:p>
  </w:footnote>
  <w:footnote w:id="4">
    <w:p w14:paraId="7AFB5AF4" w14:textId="77777777" w:rsidR="00FE5F1E" w:rsidRDefault="00FE5F1E" w:rsidP="00FE5F1E">
      <w:pPr>
        <w:pStyle w:val="FootnoteText"/>
      </w:pPr>
      <w:r w:rsidRPr="00643B04">
        <w:rPr>
          <w:rStyle w:val="FootnoteReference"/>
        </w:rPr>
        <w:footnoteRef/>
      </w:r>
      <w:r w:rsidRPr="00643B04">
        <w:t xml:space="preserve"> NB. For avoidance of doubt, hospital audiologists are capable of providing high quality care to all age groups, the system however does not always facilitate this – e.g. it does not always consider how many patients can be seen by any single department. In fact most failures in audiology have been because of systems, rather than staff, failures.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5350D" w14:textId="77777777" w:rsidR="009E0641" w:rsidRDefault="009E0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585A2" w14:textId="77777777" w:rsidR="009E0641" w:rsidRDefault="009E06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B022F" w14:textId="77777777" w:rsidR="00B94F71" w:rsidRDefault="009E42F3" w:rsidP="00A71026">
    <w:pPr>
      <w:pStyle w:val="Heading3"/>
      <w:jc w:val="left"/>
      <w:rPr>
        <w:bCs w:val="0"/>
        <w:sz w:val="28"/>
        <w:szCs w:val="28"/>
      </w:rPr>
    </w:pPr>
    <w:r>
      <w:rPr>
        <w:bCs w:val="0"/>
        <w:sz w:val="28"/>
        <w:szCs w:val="28"/>
      </w:rPr>
      <w:t xml:space="preserve">Diagnostic Services </w:t>
    </w:r>
    <w:r w:rsidR="00C97473">
      <w:rPr>
        <w:bCs w:val="0"/>
        <w:sz w:val="28"/>
        <w:szCs w:val="28"/>
      </w:rPr>
      <w:t xml:space="preserve"> </w:t>
    </w:r>
    <w:r w:rsidR="00C97473">
      <w:rPr>
        <w:bCs w:val="0"/>
        <w:sz w:val="28"/>
        <w:szCs w:val="28"/>
      </w:rPr>
      <w:tab/>
    </w:r>
    <w:r w:rsidR="00533F0E">
      <w:rPr>
        <w:noProof/>
        <w:lang w:eastAsia="en-GB"/>
      </w:rPr>
      <w:drawing>
        <wp:inline distT="0" distB="0" distL="0" distR="0" wp14:anchorId="5AF85B39" wp14:editId="04D08469">
          <wp:extent cx="2971800" cy="3048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304800"/>
                  </a:xfrm>
                  <a:prstGeom prst="rect">
                    <a:avLst/>
                  </a:prstGeom>
                  <a:noFill/>
                  <a:ln>
                    <a:noFill/>
                  </a:ln>
                </pic:spPr>
              </pic:pic>
            </a:graphicData>
          </a:graphic>
        </wp:inline>
      </w:drawing>
    </w:r>
  </w:p>
  <w:p w14:paraId="23CFA25D" w14:textId="77777777" w:rsidR="00B94F71" w:rsidRPr="00937F34" w:rsidRDefault="00B94F71" w:rsidP="00A71026">
    <w:pPr>
      <w:pStyle w:val="Header"/>
      <w:rPr>
        <w:b/>
        <w:bCs/>
      </w:rPr>
    </w:pPr>
  </w:p>
  <w:p w14:paraId="6F9482BA" w14:textId="77777777" w:rsidR="00123009" w:rsidRDefault="00B94F71" w:rsidP="00A71026">
    <w:pPr>
      <w:pStyle w:val="Header"/>
      <w:rPr>
        <w:bCs/>
        <w:u w:val="single"/>
      </w:rPr>
    </w:pPr>
    <w:r w:rsidRPr="00060F6F">
      <w:rPr>
        <w:rFonts w:cs="Arial"/>
        <w:b/>
        <w:bCs/>
      </w:rPr>
      <w:t>Consultation on</w:t>
    </w:r>
    <w:r>
      <w:rPr>
        <w:rFonts w:cs="Arial"/>
        <w:b/>
        <w:bCs/>
      </w:rPr>
      <w:t xml:space="preserve"> d</w:t>
    </w:r>
    <w:r w:rsidRPr="007968D4">
      <w:rPr>
        <w:rFonts w:cs="Arial"/>
        <w:b/>
        <w:bCs/>
      </w:rPr>
      <w:t xml:space="preserve">raft </w:t>
    </w:r>
    <w:r>
      <w:rPr>
        <w:rFonts w:cs="Arial"/>
        <w:b/>
        <w:bCs/>
      </w:rPr>
      <w:t xml:space="preserve">scope </w:t>
    </w:r>
    <w:r w:rsidR="00C97473">
      <w:rPr>
        <w:rFonts w:cs="Arial"/>
        <w:b/>
        <w:bCs/>
      </w:rPr>
      <w:t xml:space="preserve">– </w:t>
    </w:r>
    <w:r w:rsidR="00C97473">
      <w:rPr>
        <w:b/>
        <w:bCs/>
      </w:rPr>
      <w:t>deadline for comments</w:t>
    </w:r>
    <w:r w:rsidRPr="00A12694">
      <w:rPr>
        <w:b/>
        <w:bCs/>
      </w:rPr>
      <w:t xml:space="preserve"> </w:t>
    </w:r>
    <w:r w:rsidR="009E42F3">
      <w:rPr>
        <w:bCs/>
        <w:u w:val="single"/>
      </w:rPr>
      <w:t>5pm</w:t>
    </w:r>
    <w:r w:rsidRPr="00123009">
      <w:rPr>
        <w:bCs/>
        <w:u w:val="single"/>
      </w:rPr>
      <w:t xml:space="preserve"> on </w:t>
    </w:r>
    <w:r w:rsidR="009E42F3">
      <w:rPr>
        <w:bCs/>
        <w:u w:val="single"/>
      </w:rPr>
      <w:t>2/11/2015</w:t>
    </w:r>
  </w:p>
  <w:p w14:paraId="2F681B92" w14:textId="77777777" w:rsidR="00B94F71" w:rsidRDefault="00123009">
    <w:pPr>
      <w:pStyle w:val="Header"/>
    </w:pPr>
    <w:r w:rsidRPr="00123009">
      <w:rPr>
        <w:b/>
        <w:bCs/>
        <w:u w:val="single"/>
      </w:rPr>
      <w:t>email</w:t>
    </w:r>
    <w:r w:rsidRPr="007334BB">
      <w:rPr>
        <w:bCs/>
        <w:u w:val="single"/>
      </w:rPr>
      <w:t>:</w:t>
    </w:r>
    <w:r>
      <w:rPr>
        <w:b/>
        <w:bCs/>
        <w:u w:val="single"/>
      </w:rPr>
      <w:t xml:space="preserve"> </w:t>
    </w:r>
    <w:r w:rsidR="009E42F3">
      <w:rPr>
        <w:u w:val="single"/>
      </w:rPr>
      <w:t>Diagservice@nice.org.uk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03A64"/>
    <w:multiLevelType w:val="hybridMultilevel"/>
    <w:tmpl w:val="9106313C"/>
    <w:lvl w:ilvl="0" w:tplc="3FB8EEF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C328F"/>
    <w:multiLevelType w:val="hybridMultilevel"/>
    <w:tmpl w:val="FBD6F1C4"/>
    <w:lvl w:ilvl="0" w:tplc="ABAEE22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C0A81"/>
    <w:multiLevelType w:val="hybridMultilevel"/>
    <w:tmpl w:val="67DCE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1645C"/>
    <w:multiLevelType w:val="hybridMultilevel"/>
    <w:tmpl w:val="BBFC5C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E653B"/>
    <w:multiLevelType w:val="hybridMultilevel"/>
    <w:tmpl w:val="1C402A88"/>
    <w:lvl w:ilvl="0" w:tplc="04090001">
      <w:start w:val="1"/>
      <w:numFmt w:val="bullet"/>
      <w:lvlText w:val=""/>
      <w:lvlJc w:val="left"/>
      <w:pPr>
        <w:tabs>
          <w:tab w:val="num" w:pos="1800"/>
        </w:tabs>
        <w:ind w:left="1800" w:hanging="360"/>
      </w:pPr>
      <w:rPr>
        <w:rFonts w:ascii="Symbol" w:hAnsi="Symbol"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1125636B"/>
    <w:multiLevelType w:val="hybridMultilevel"/>
    <w:tmpl w:val="0DC22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11034"/>
    <w:multiLevelType w:val="hybridMultilevel"/>
    <w:tmpl w:val="A7F4C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DE12B0"/>
    <w:multiLevelType w:val="hybridMultilevel"/>
    <w:tmpl w:val="41442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0665E9"/>
    <w:multiLevelType w:val="hybridMultilevel"/>
    <w:tmpl w:val="ACDC20D4"/>
    <w:lvl w:ilvl="0" w:tplc="08090001">
      <w:start w:val="1"/>
      <w:numFmt w:val="bullet"/>
      <w:lvlText w:val=""/>
      <w:lvlJc w:val="left"/>
      <w:pPr>
        <w:ind w:left="308" w:hanging="360"/>
      </w:pPr>
      <w:rPr>
        <w:rFonts w:ascii="Symbol" w:hAnsi="Symbol" w:hint="default"/>
      </w:rPr>
    </w:lvl>
    <w:lvl w:ilvl="1" w:tplc="08090003" w:tentative="1">
      <w:start w:val="1"/>
      <w:numFmt w:val="bullet"/>
      <w:lvlText w:val="o"/>
      <w:lvlJc w:val="left"/>
      <w:pPr>
        <w:ind w:left="1028" w:hanging="360"/>
      </w:pPr>
      <w:rPr>
        <w:rFonts w:ascii="Courier New" w:hAnsi="Courier New" w:cs="Courier New" w:hint="default"/>
      </w:rPr>
    </w:lvl>
    <w:lvl w:ilvl="2" w:tplc="08090005" w:tentative="1">
      <w:start w:val="1"/>
      <w:numFmt w:val="bullet"/>
      <w:lvlText w:val=""/>
      <w:lvlJc w:val="left"/>
      <w:pPr>
        <w:ind w:left="1748" w:hanging="360"/>
      </w:pPr>
      <w:rPr>
        <w:rFonts w:ascii="Wingdings" w:hAnsi="Wingdings" w:hint="default"/>
      </w:rPr>
    </w:lvl>
    <w:lvl w:ilvl="3" w:tplc="08090001" w:tentative="1">
      <w:start w:val="1"/>
      <w:numFmt w:val="bullet"/>
      <w:lvlText w:val=""/>
      <w:lvlJc w:val="left"/>
      <w:pPr>
        <w:ind w:left="2468" w:hanging="360"/>
      </w:pPr>
      <w:rPr>
        <w:rFonts w:ascii="Symbol" w:hAnsi="Symbol" w:hint="default"/>
      </w:rPr>
    </w:lvl>
    <w:lvl w:ilvl="4" w:tplc="08090003" w:tentative="1">
      <w:start w:val="1"/>
      <w:numFmt w:val="bullet"/>
      <w:lvlText w:val="o"/>
      <w:lvlJc w:val="left"/>
      <w:pPr>
        <w:ind w:left="3188" w:hanging="360"/>
      </w:pPr>
      <w:rPr>
        <w:rFonts w:ascii="Courier New" w:hAnsi="Courier New" w:cs="Courier New" w:hint="default"/>
      </w:rPr>
    </w:lvl>
    <w:lvl w:ilvl="5" w:tplc="08090005" w:tentative="1">
      <w:start w:val="1"/>
      <w:numFmt w:val="bullet"/>
      <w:lvlText w:val=""/>
      <w:lvlJc w:val="left"/>
      <w:pPr>
        <w:ind w:left="3908" w:hanging="360"/>
      </w:pPr>
      <w:rPr>
        <w:rFonts w:ascii="Wingdings" w:hAnsi="Wingdings" w:hint="default"/>
      </w:rPr>
    </w:lvl>
    <w:lvl w:ilvl="6" w:tplc="08090001" w:tentative="1">
      <w:start w:val="1"/>
      <w:numFmt w:val="bullet"/>
      <w:lvlText w:val=""/>
      <w:lvlJc w:val="left"/>
      <w:pPr>
        <w:ind w:left="4628" w:hanging="360"/>
      </w:pPr>
      <w:rPr>
        <w:rFonts w:ascii="Symbol" w:hAnsi="Symbol" w:hint="default"/>
      </w:rPr>
    </w:lvl>
    <w:lvl w:ilvl="7" w:tplc="08090003" w:tentative="1">
      <w:start w:val="1"/>
      <w:numFmt w:val="bullet"/>
      <w:lvlText w:val="o"/>
      <w:lvlJc w:val="left"/>
      <w:pPr>
        <w:ind w:left="5348" w:hanging="360"/>
      </w:pPr>
      <w:rPr>
        <w:rFonts w:ascii="Courier New" w:hAnsi="Courier New" w:cs="Courier New" w:hint="default"/>
      </w:rPr>
    </w:lvl>
    <w:lvl w:ilvl="8" w:tplc="08090005" w:tentative="1">
      <w:start w:val="1"/>
      <w:numFmt w:val="bullet"/>
      <w:lvlText w:val=""/>
      <w:lvlJc w:val="left"/>
      <w:pPr>
        <w:ind w:left="6068" w:hanging="360"/>
      </w:pPr>
      <w:rPr>
        <w:rFonts w:ascii="Wingdings" w:hAnsi="Wingdings" w:hint="default"/>
      </w:rPr>
    </w:lvl>
  </w:abstractNum>
  <w:abstractNum w:abstractNumId="9" w15:restartNumberingAfterBreak="0">
    <w:nsid w:val="2BDA79A9"/>
    <w:multiLevelType w:val="hybridMultilevel"/>
    <w:tmpl w:val="1C402A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1E7496"/>
    <w:multiLevelType w:val="hybridMultilevel"/>
    <w:tmpl w:val="8F4E5014"/>
    <w:lvl w:ilvl="0" w:tplc="741270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D07134"/>
    <w:multiLevelType w:val="hybridMultilevel"/>
    <w:tmpl w:val="70443D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082AC3"/>
    <w:multiLevelType w:val="hybridMultilevel"/>
    <w:tmpl w:val="4B987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D71CF9"/>
    <w:multiLevelType w:val="hybridMultilevel"/>
    <w:tmpl w:val="D61214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D274D73"/>
    <w:multiLevelType w:val="hybridMultilevel"/>
    <w:tmpl w:val="CF103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3B7FCB"/>
    <w:multiLevelType w:val="hybridMultilevel"/>
    <w:tmpl w:val="A8320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1"/>
  </w:num>
  <w:num w:numId="3">
    <w:abstractNumId w:val="9"/>
  </w:num>
  <w:num w:numId="4">
    <w:abstractNumId w:val="4"/>
  </w:num>
  <w:num w:numId="5">
    <w:abstractNumId w:val="0"/>
  </w:num>
  <w:num w:numId="6">
    <w:abstractNumId w:val="2"/>
  </w:num>
  <w:num w:numId="7">
    <w:abstractNumId w:val="1"/>
  </w:num>
  <w:num w:numId="8">
    <w:abstractNumId w:val="8"/>
  </w:num>
  <w:num w:numId="9">
    <w:abstractNumId w:val="13"/>
  </w:num>
  <w:num w:numId="10">
    <w:abstractNumId w:val="10"/>
  </w:num>
  <w:num w:numId="11">
    <w:abstractNumId w:val="12"/>
  </w:num>
  <w:num w:numId="12">
    <w:abstractNumId w:val="15"/>
  </w:num>
  <w:num w:numId="13">
    <w:abstractNumId w:val="14"/>
  </w:num>
  <w:num w:numId="14">
    <w:abstractNumId w:val="6"/>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2F3"/>
    <w:rsid w:val="00042B25"/>
    <w:rsid w:val="00055695"/>
    <w:rsid w:val="00072D10"/>
    <w:rsid w:val="00080388"/>
    <w:rsid w:val="00093436"/>
    <w:rsid w:val="000D4EA3"/>
    <w:rsid w:val="00123009"/>
    <w:rsid w:val="00131008"/>
    <w:rsid w:val="00137319"/>
    <w:rsid w:val="00150032"/>
    <w:rsid w:val="00161B18"/>
    <w:rsid w:val="0016536F"/>
    <w:rsid w:val="00184246"/>
    <w:rsid w:val="00197F8A"/>
    <w:rsid w:val="001A0B3F"/>
    <w:rsid w:val="001A1D8A"/>
    <w:rsid w:val="001B7DA1"/>
    <w:rsid w:val="001D2144"/>
    <w:rsid w:val="001D3661"/>
    <w:rsid w:val="001F1201"/>
    <w:rsid w:val="001F52A7"/>
    <w:rsid w:val="00215BC8"/>
    <w:rsid w:val="002321A9"/>
    <w:rsid w:val="00241ECE"/>
    <w:rsid w:val="00254412"/>
    <w:rsid w:val="00274768"/>
    <w:rsid w:val="00292BEB"/>
    <w:rsid w:val="002938A4"/>
    <w:rsid w:val="002943F1"/>
    <w:rsid w:val="00295611"/>
    <w:rsid w:val="002D7880"/>
    <w:rsid w:val="002E3A84"/>
    <w:rsid w:val="002F0372"/>
    <w:rsid w:val="00303D85"/>
    <w:rsid w:val="00313896"/>
    <w:rsid w:val="003709A6"/>
    <w:rsid w:val="00375A46"/>
    <w:rsid w:val="003A06AF"/>
    <w:rsid w:val="003C1DA3"/>
    <w:rsid w:val="003C1E9E"/>
    <w:rsid w:val="003C22B2"/>
    <w:rsid w:val="00410DCD"/>
    <w:rsid w:val="004358E1"/>
    <w:rsid w:val="0044012A"/>
    <w:rsid w:val="00441F40"/>
    <w:rsid w:val="00445C1F"/>
    <w:rsid w:val="00453474"/>
    <w:rsid w:val="004578F2"/>
    <w:rsid w:val="004B3BF2"/>
    <w:rsid w:val="004D4F42"/>
    <w:rsid w:val="00524764"/>
    <w:rsid w:val="0053265B"/>
    <w:rsid w:val="00533F0E"/>
    <w:rsid w:val="00546FCE"/>
    <w:rsid w:val="00554469"/>
    <w:rsid w:val="00563A3F"/>
    <w:rsid w:val="00564837"/>
    <w:rsid w:val="00570414"/>
    <w:rsid w:val="0059781C"/>
    <w:rsid w:val="005B3101"/>
    <w:rsid w:val="005E29DF"/>
    <w:rsid w:val="00615426"/>
    <w:rsid w:val="00622B04"/>
    <w:rsid w:val="0063082B"/>
    <w:rsid w:val="00635FFB"/>
    <w:rsid w:val="00643AC4"/>
    <w:rsid w:val="00643B04"/>
    <w:rsid w:val="00666026"/>
    <w:rsid w:val="00676CE4"/>
    <w:rsid w:val="006777EA"/>
    <w:rsid w:val="00685DA4"/>
    <w:rsid w:val="00692DFA"/>
    <w:rsid w:val="006D5505"/>
    <w:rsid w:val="006E56DA"/>
    <w:rsid w:val="006F43E2"/>
    <w:rsid w:val="00717FE8"/>
    <w:rsid w:val="007253AF"/>
    <w:rsid w:val="00741C92"/>
    <w:rsid w:val="00747463"/>
    <w:rsid w:val="00751D93"/>
    <w:rsid w:val="00763290"/>
    <w:rsid w:val="00764654"/>
    <w:rsid w:val="0077659D"/>
    <w:rsid w:val="007B0448"/>
    <w:rsid w:val="007F46FB"/>
    <w:rsid w:val="007F48B8"/>
    <w:rsid w:val="00807517"/>
    <w:rsid w:val="00817C04"/>
    <w:rsid w:val="008234F7"/>
    <w:rsid w:val="0083266F"/>
    <w:rsid w:val="00861041"/>
    <w:rsid w:val="0086119E"/>
    <w:rsid w:val="00871BA5"/>
    <w:rsid w:val="008855FD"/>
    <w:rsid w:val="008971E3"/>
    <w:rsid w:val="008D7B9E"/>
    <w:rsid w:val="008E6E74"/>
    <w:rsid w:val="008F4F3D"/>
    <w:rsid w:val="008F7181"/>
    <w:rsid w:val="00906C20"/>
    <w:rsid w:val="00914F46"/>
    <w:rsid w:val="00944447"/>
    <w:rsid w:val="00945A3B"/>
    <w:rsid w:val="00982FA8"/>
    <w:rsid w:val="00992358"/>
    <w:rsid w:val="009A0247"/>
    <w:rsid w:val="009A4A5A"/>
    <w:rsid w:val="009B04FE"/>
    <w:rsid w:val="009E0641"/>
    <w:rsid w:val="009E42F3"/>
    <w:rsid w:val="00A034E4"/>
    <w:rsid w:val="00A2591B"/>
    <w:rsid w:val="00A31B42"/>
    <w:rsid w:val="00A35BE6"/>
    <w:rsid w:val="00A4382E"/>
    <w:rsid w:val="00A45E86"/>
    <w:rsid w:val="00A4749D"/>
    <w:rsid w:val="00A63674"/>
    <w:rsid w:val="00A71026"/>
    <w:rsid w:val="00A81143"/>
    <w:rsid w:val="00A812B3"/>
    <w:rsid w:val="00AA2DC8"/>
    <w:rsid w:val="00AA3AD7"/>
    <w:rsid w:val="00AA688C"/>
    <w:rsid w:val="00AB0DB5"/>
    <w:rsid w:val="00AB29FB"/>
    <w:rsid w:val="00AD4CA3"/>
    <w:rsid w:val="00AF2FA1"/>
    <w:rsid w:val="00B070BA"/>
    <w:rsid w:val="00B07715"/>
    <w:rsid w:val="00B45B8B"/>
    <w:rsid w:val="00B532AB"/>
    <w:rsid w:val="00B62438"/>
    <w:rsid w:val="00B7252D"/>
    <w:rsid w:val="00B72EDF"/>
    <w:rsid w:val="00B94F71"/>
    <w:rsid w:val="00BA770A"/>
    <w:rsid w:val="00BB4271"/>
    <w:rsid w:val="00BC3298"/>
    <w:rsid w:val="00BC41AA"/>
    <w:rsid w:val="00BD06C4"/>
    <w:rsid w:val="00BE1E4C"/>
    <w:rsid w:val="00BF2A30"/>
    <w:rsid w:val="00BF64F2"/>
    <w:rsid w:val="00C012DD"/>
    <w:rsid w:val="00C249A1"/>
    <w:rsid w:val="00C41218"/>
    <w:rsid w:val="00C53F9B"/>
    <w:rsid w:val="00C852DC"/>
    <w:rsid w:val="00C97473"/>
    <w:rsid w:val="00CA197E"/>
    <w:rsid w:val="00CA415E"/>
    <w:rsid w:val="00CB1159"/>
    <w:rsid w:val="00D007DC"/>
    <w:rsid w:val="00D05503"/>
    <w:rsid w:val="00D13542"/>
    <w:rsid w:val="00D37716"/>
    <w:rsid w:val="00D37813"/>
    <w:rsid w:val="00D405DF"/>
    <w:rsid w:val="00D43A6C"/>
    <w:rsid w:val="00D54F18"/>
    <w:rsid w:val="00D664E9"/>
    <w:rsid w:val="00D713CD"/>
    <w:rsid w:val="00D918EC"/>
    <w:rsid w:val="00DA48EA"/>
    <w:rsid w:val="00DB6514"/>
    <w:rsid w:val="00DC5C0D"/>
    <w:rsid w:val="00DE2B8C"/>
    <w:rsid w:val="00DF0D3A"/>
    <w:rsid w:val="00E00EED"/>
    <w:rsid w:val="00E2582E"/>
    <w:rsid w:val="00E32295"/>
    <w:rsid w:val="00E33ECB"/>
    <w:rsid w:val="00E645B5"/>
    <w:rsid w:val="00E64C4A"/>
    <w:rsid w:val="00E66C63"/>
    <w:rsid w:val="00E748A8"/>
    <w:rsid w:val="00EA296F"/>
    <w:rsid w:val="00EB301A"/>
    <w:rsid w:val="00EB630F"/>
    <w:rsid w:val="00EC500C"/>
    <w:rsid w:val="00EE477E"/>
    <w:rsid w:val="00EE581E"/>
    <w:rsid w:val="00EE7CD8"/>
    <w:rsid w:val="00EF30D0"/>
    <w:rsid w:val="00F15534"/>
    <w:rsid w:val="00F2413A"/>
    <w:rsid w:val="00F36669"/>
    <w:rsid w:val="00F510F0"/>
    <w:rsid w:val="00F54FC9"/>
    <w:rsid w:val="00F62D17"/>
    <w:rsid w:val="00F6770D"/>
    <w:rsid w:val="00F73857"/>
    <w:rsid w:val="00F76F58"/>
    <w:rsid w:val="00F77282"/>
    <w:rsid w:val="00F85B35"/>
    <w:rsid w:val="00F86623"/>
    <w:rsid w:val="00FA6C5A"/>
    <w:rsid w:val="00FB192D"/>
    <w:rsid w:val="00FE5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3FBF45"/>
  <w15:docId w15:val="{A48EBBFD-0740-4606-AD3F-676AB70B3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b/>
      <w:bCs/>
    </w:rPr>
  </w:style>
  <w:style w:type="paragraph" w:styleId="Heading3">
    <w:name w:val="heading 3"/>
    <w:basedOn w:val="Normal"/>
    <w:next w:val="Normal"/>
    <w:qFormat/>
    <w:pPr>
      <w:keepNext/>
      <w:jc w:val="cente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z w:val="24"/>
      <w:szCs w:val="24"/>
    </w:rPr>
  </w:style>
  <w:style w:type="paragraph" w:styleId="BodyText">
    <w:name w:val="Body Text"/>
    <w:basedOn w:val="Normal"/>
    <w:rPr>
      <w:b/>
      <w:bCs/>
    </w:rPr>
  </w:style>
  <w:style w:type="character" w:styleId="Hyperlink">
    <w:name w:val="Hyperlink"/>
    <w:rsid w:val="00E2582E"/>
    <w:rPr>
      <w:color w:val="0000FF"/>
      <w:u w:val="single"/>
    </w:rPr>
  </w:style>
  <w:style w:type="character" w:styleId="FollowedHyperlink">
    <w:name w:val="FollowedHyperlink"/>
    <w:rsid w:val="00EE581E"/>
    <w:rPr>
      <w:color w:val="800080"/>
      <w:u w:val="single"/>
    </w:rPr>
  </w:style>
  <w:style w:type="character" w:styleId="CommentReference">
    <w:name w:val="annotation reference"/>
    <w:rsid w:val="007B0448"/>
    <w:rPr>
      <w:sz w:val="16"/>
      <w:szCs w:val="16"/>
    </w:rPr>
  </w:style>
  <w:style w:type="paragraph" w:styleId="CommentText">
    <w:name w:val="annotation text"/>
    <w:basedOn w:val="Normal"/>
    <w:link w:val="CommentTextChar"/>
    <w:uiPriority w:val="99"/>
    <w:rsid w:val="007B0448"/>
    <w:rPr>
      <w:sz w:val="20"/>
    </w:rPr>
  </w:style>
  <w:style w:type="character" w:customStyle="1" w:styleId="CommentTextChar">
    <w:name w:val="Comment Text Char"/>
    <w:link w:val="CommentText"/>
    <w:uiPriority w:val="99"/>
    <w:rsid w:val="007B0448"/>
    <w:rPr>
      <w:rFonts w:ascii="Arial" w:hAnsi="Arial"/>
      <w:lang w:eastAsia="en-US"/>
    </w:rPr>
  </w:style>
  <w:style w:type="paragraph" w:styleId="CommentSubject">
    <w:name w:val="annotation subject"/>
    <w:basedOn w:val="CommentText"/>
    <w:next w:val="CommentText"/>
    <w:link w:val="CommentSubjectChar"/>
    <w:rsid w:val="007B0448"/>
    <w:rPr>
      <w:b/>
      <w:bCs/>
    </w:rPr>
  </w:style>
  <w:style w:type="character" w:customStyle="1" w:styleId="CommentSubjectChar">
    <w:name w:val="Comment Subject Char"/>
    <w:link w:val="CommentSubject"/>
    <w:rsid w:val="007B0448"/>
    <w:rPr>
      <w:rFonts w:ascii="Arial" w:hAnsi="Arial"/>
      <w:b/>
      <w:bCs/>
      <w:lang w:eastAsia="en-US"/>
    </w:rPr>
  </w:style>
  <w:style w:type="paragraph" w:styleId="BalloonText">
    <w:name w:val="Balloon Text"/>
    <w:basedOn w:val="Normal"/>
    <w:link w:val="BalloonTextChar"/>
    <w:rsid w:val="007B0448"/>
    <w:rPr>
      <w:rFonts w:ascii="Tahoma" w:hAnsi="Tahoma" w:cs="Tahoma"/>
      <w:sz w:val="16"/>
      <w:szCs w:val="16"/>
    </w:rPr>
  </w:style>
  <w:style w:type="character" w:customStyle="1" w:styleId="BalloonTextChar">
    <w:name w:val="Balloon Text Char"/>
    <w:link w:val="BalloonText"/>
    <w:rsid w:val="007B0448"/>
    <w:rPr>
      <w:rFonts w:ascii="Tahoma" w:hAnsi="Tahoma" w:cs="Tahoma"/>
      <w:sz w:val="16"/>
      <w:szCs w:val="16"/>
      <w:lang w:eastAsia="en-US"/>
    </w:rPr>
  </w:style>
  <w:style w:type="paragraph" w:styleId="Footer">
    <w:name w:val="footer"/>
    <w:basedOn w:val="Normal"/>
    <w:link w:val="FooterChar"/>
    <w:uiPriority w:val="99"/>
    <w:rsid w:val="00E66C63"/>
    <w:pPr>
      <w:tabs>
        <w:tab w:val="center" w:pos="4513"/>
        <w:tab w:val="right" w:pos="9026"/>
      </w:tabs>
    </w:pPr>
  </w:style>
  <w:style w:type="character" w:customStyle="1" w:styleId="FooterChar">
    <w:name w:val="Footer Char"/>
    <w:link w:val="Footer"/>
    <w:uiPriority w:val="99"/>
    <w:rsid w:val="00E66C63"/>
    <w:rPr>
      <w:rFonts w:ascii="Arial" w:hAnsi="Arial"/>
      <w:sz w:val="22"/>
      <w:lang w:eastAsia="en-US"/>
    </w:rPr>
  </w:style>
  <w:style w:type="character" w:customStyle="1" w:styleId="HeaderChar">
    <w:name w:val="Header Char"/>
    <w:link w:val="Header"/>
    <w:uiPriority w:val="99"/>
    <w:rsid w:val="00B07715"/>
    <w:rPr>
      <w:rFonts w:ascii="Arial" w:hAnsi="Arial"/>
      <w:sz w:val="24"/>
      <w:szCs w:val="24"/>
      <w:lang w:eastAsia="en-US"/>
    </w:rPr>
  </w:style>
  <w:style w:type="paragraph" w:styleId="Revision">
    <w:name w:val="Revision"/>
    <w:hidden/>
    <w:uiPriority w:val="99"/>
    <w:semiHidden/>
    <w:rsid w:val="00150032"/>
    <w:rPr>
      <w:rFonts w:ascii="Arial" w:hAnsi="Arial"/>
      <w:sz w:val="22"/>
      <w:lang w:eastAsia="en-US"/>
    </w:rPr>
  </w:style>
  <w:style w:type="table" w:styleId="TableGrid">
    <w:name w:val="Table Grid"/>
    <w:basedOn w:val="TableNormal"/>
    <w:rsid w:val="00676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CEnormal">
    <w:name w:val="NICE normal"/>
    <w:link w:val="NICEnormalChar"/>
    <w:rsid w:val="00A71026"/>
    <w:pPr>
      <w:spacing w:after="240" w:line="360" w:lineRule="auto"/>
    </w:pPr>
    <w:rPr>
      <w:rFonts w:ascii="Arial" w:hAnsi="Arial"/>
      <w:sz w:val="24"/>
      <w:szCs w:val="24"/>
      <w:lang w:val="en-US" w:eastAsia="en-US"/>
    </w:rPr>
  </w:style>
  <w:style w:type="character" w:customStyle="1" w:styleId="NICEnormalChar">
    <w:name w:val="NICE normal Char"/>
    <w:link w:val="NICEnormal"/>
    <w:rsid w:val="00A71026"/>
    <w:rPr>
      <w:rFonts w:ascii="Arial" w:hAnsi="Arial"/>
      <w:sz w:val="24"/>
      <w:szCs w:val="24"/>
      <w:lang w:val="en-US" w:eastAsia="en-US"/>
    </w:rPr>
  </w:style>
  <w:style w:type="paragraph" w:styleId="ListParagraph">
    <w:name w:val="List Paragraph"/>
    <w:basedOn w:val="Normal"/>
    <w:link w:val="ListParagraphChar"/>
    <w:uiPriority w:val="34"/>
    <w:qFormat/>
    <w:rsid w:val="00666026"/>
    <w:pPr>
      <w:spacing w:after="160" w:line="259" w:lineRule="auto"/>
      <w:ind w:left="720"/>
      <w:contextualSpacing/>
    </w:pPr>
    <w:rPr>
      <w:rFonts w:asciiTheme="minorHAnsi" w:eastAsiaTheme="minorHAnsi" w:hAnsiTheme="minorHAnsi" w:cstheme="minorBidi"/>
      <w:szCs w:val="22"/>
    </w:rPr>
  </w:style>
  <w:style w:type="paragraph" w:styleId="FootnoteText">
    <w:name w:val="footnote text"/>
    <w:basedOn w:val="Normal"/>
    <w:link w:val="FootnoteTextChar"/>
    <w:uiPriority w:val="99"/>
    <w:unhideWhenUsed/>
    <w:rsid w:val="00666026"/>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666026"/>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666026"/>
    <w:rPr>
      <w:vertAlign w:val="superscript"/>
    </w:rPr>
  </w:style>
  <w:style w:type="paragraph" w:styleId="EndnoteText">
    <w:name w:val="endnote text"/>
    <w:basedOn w:val="Normal"/>
    <w:link w:val="EndnoteTextChar"/>
    <w:uiPriority w:val="99"/>
    <w:unhideWhenUsed/>
    <w:rsid w:val="00666026"/>
    <w:rPr>
      <w:rFonts w:eastAsia="Calibri"/>
      <w:sz w:val="24"/>
      <w:szCs w:val="24"/>
    </w:rPr>
  </w:style>
  <w:style w:type="character" w:customStyle="1" w:styleId="EndnoteTextChar">
    <w:name w:val="Endnote Text Char"/>
    <w:basedOn w:val="DefaultParagraphFont"/>
    <w:link w:val="EndnoteText"/>
    <w:uiPriority w:val="99"/>
    <w:rsid w:val="00666026"/>
    <w:rPr>
      <w:rFonts w:ascii="Arial" w:eastAsia="Calibri" w:hAnsi="Arial"/>
      <w:sz w:val="24"/>
      <w:szCs w:val="24"/>
      <w:lang w:eastAsia="en-US"/>
    </w:rPr>
  </w:style>
  <w:style w:type="character" w:styleId="EndnoteReference">
    <w:name w:val="endnote reference"/>
    <w:uiPriority w:val="99"/>
    <w:unhideWhenUsed/>
    <w:rsid w:val="00666026"/>
    <w:rPr>
      <w:rFonts w:ascii="Arial" w:hAnsi="Arial"/>
      <w:sz w:val="24"/>
      <w:vertAlign w:val="superscript"/>
    </w:rPr>
  </w:style>
  <w:style w:type="character" w:customStyle="1" w:styleId="ListParagraphChar">
    <w:name w:val="List Paragraph Char"/>
    <w:link w:val="ListParagraph"/>
    <w:uiPriority w:val="34"/>
    <w:rsid w:val="0066602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ce.org.uk/article/pmg22/chapter/3-how-you-can-get-involve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rjit.sandhu@the-ncha.com" TargetMode="External"/><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8" Type="http://schemas.openxmlformats.org/officeDocument/2006/relationships/hyperlink" Target="http://www.the-ncha.com/media/19698/Dept-Health-Best-Practice-Guidance-2012-present.pdf" TargetMode="External"/><Relationship Id="rId13" Type="http://schemas.openxmlformats.org/officeDocument/2006/relationships/hyperlink" Target="https://www.gov.uk/government/uploads/system/uploads/attachment_data/file/409275/Adult_hearing_services_-_Annexes_1-5.pdf" TargetMode="External"/><Relationship Id="rId18" Type="http://schemas.openxmlformats.org/officeDocument/2006/relationships/hyperlink" Target="http://www.ndcs.org.uk/document.rm?id=9393" TargetMode="External"/><Relationship Id="rId26" Type="http://schemas.openxmlformats.org/officeDocument/2006/relationships/hyperlink" Target="http://www.england.nhs.uk/wp-content/uploads/2015/03/act-plan-hearing-loss-upd.pdf" TargetMode="External"/><Relationship Id="rId3" Type="http://schemas.openxmlformats.org/officeDocument/2006/relationships/image" Target="media/image1.png"/><Relationship Id="rId21" Type="http://schemas.openxmlformats.org/officeDocument/2006/relationships/hyperlink" Target="http://www.ndcs.org.uk/document.rm?id=9393" TargetMode="External"/><Relationship Id="rId7" Type="http://schemas.openxmlformats.org/officeDocument/2006/relationships/hyperlink" Target="http://www.the-ncha.com/media/19698/Dept-Health-Best-Practice-Guidance-2012-present.pdf" TargetMode="External"/><Relationship Id="rId12" Type="http://schemas.openxmlformats.org/officeDocument/2006/relationships/chart" Target="charts/chart1.xml"/><Relationship Id="rId17" Type="http://schemas.openxmlformats.org/officeDocument/2006/relationships/hyperlink" Target="https://www.gov.uk/government/uploads/system/uploads/attachment_data/file/409275/Adult_hearing_services_-_Annexes_1-5.pdf" TargetMode="External"/><Relationship Id="rId25" Type="http://schemas.openxmlformats.org/officeDocument/2006/relationships/hyperlink" Target="http://www.the-ncha.com/data/" TargetMode="External"/><Relationship Id="rId2" Type="http://schemas.openxmlformats.org/officeDocument/2006/relationships/hyperlink" Target="http://www.england.nhs.uk/wp-content/uploads/2015/03/act-plan-hearing-loss-upd.pdf" TargetMode="External"/><Relationship Id="rId16" Type="http://schemas.openxmlformats.org/officeDocument/2006/relationships/chart" Target="charts/chart2.xml"/><Relationship Id="rId20" Type="http://schemas.openxmlformats.org/officeDocument/2006/relationships/hyperlink" Target="https://www.gov.uk/government/uploads/system/uploads/attachment_data/file/409273/Adult_hearing_services_-_Monitor_s_report.pdf" TargetMode="External"/><Relationship Id="rId1" Type="http://schemas.openxmlformats.org/officeDocument/2006/relationships/hyperlink" Target="http://improvementsystem.nhsiq.nhs.uk/ImprovementSystem/ViewDocument.aspx?path=Audiology%2FNational%2Fwebsite%2FPushing%20the%20Boundaries.pdf" TargetMode="External"/><Relationship Id="rId6" Type="http://schemas.openxmlformats.org/officeDocument/2006/relationships/hyperlink" Target="http://webarchive.nationalarchives.gov.uk/20130107105354/http:/www.dh.gov.uk/prod_consum_dh/groups/dh_digitalassets/documents/digitalasset/dh_097469.pdf" TargetMode="External"/><Relationship Id="rId11" Type="http://schemas.openxmlformats.org/officeDocument/2006/relationships/hyperlink" Target="https://www.gov.uk/government/uploads/system/uploads/attachment_data/file/409275/Adult_hearing_services_-_Annexes_1-5.pdf" TargetMode="External"/><Relationship Id="rId24" Type="http://schemas.openxmlformats.org/officeDocument/2006/relationships/hyperlink" Target="http://www.journalslibrary.nihr.ac.uk/__data/assets/pdf_file/0008/64817/FullReport-hta4040.pdf" TargetMode="External"/><Relationship Id="rId5" Type="http://schemas.openxmlformats.org/officeDocument/2006/relationships/hyperlink" Target="https://www.gov.uk/government/uploads/system/uploads/attachment_data/file/409273/Adult_hearing_services_-_Monitor_s_report.pdf" TargetMode="External"/><Relationship Id="rId15" Type="http://schemas.openxmlformats.org/officeDocument/2006/relationships/hyperlink" Target="http://www.england.nhs.uk/wp-content/uploads/2015/03/act-plan-hearing-loss-upd.pdf" TargetMode="External"/><Relationship Id="rId23" Type="http://schemas.openxmlformats.org/officeDocument/2006/relationships/chart" Target="charts/chart3.xml"/><Relationship Id="rId10" Type="http://schemas.openxmlformats.org/officeDocument/2006/relationships/hyperlink" Target="http://www.the-ncha.com/media/19698/Dept-Health-Best-Practice-Guidance-2012-present.pdf" TargetMode="External"/><Relationship Id="rId19" Type="http://schemas.openxmlformats.org/officeDocument/2006/relationships/hyperlink" Target="http://www.england.nhs.uk/wp-content/uploads/2015/03/act-plan-hearing-loss-upd.pdf" TargetMode="External"/><Relationship Id="rId4" Type="http://schemas.openxmlformats.org/officeDocument/2006/relationships/hyperlink" Target="http://www.journalslibrary.nihr.ac.uk/__data/assets/pdf_file/0008/64817/FullReport-hta4040.pdf" TargetMode="External"/><Relationship Id="rId9" Type="http://schemas.openxmlformats.org/officeDocument/2006/relationships/hyperlink" Target="http://www.the-ncha.com/media/19698/Dept-Health-Best-Practice-Guidance-2012-present.pdf" TargetMode="External"/><Relationship Id="rId14" Type="http://schemas.openxmlformats.org/officeDocument/2006/relationships/hyperlink" Target="http://improvementsystem.nhsiq.nhs.uk/ImprovementSystem/ViewDocument.aspx?path=Audiology%2FNational%2Fwebsite%2FPushing%20the%20Boundaries.pdf" TargetMode="External"/><Relationship Id="rId22" Type="http://schemas.openxmlformats.org/officeDocument/2006/relationships/hyperlink" Target="https://www.gov.uk/government/uploads/system/uploads/attachment_data/file/216136/dh_128461.pdf" TargetMode="External"/><Relationship Id="rId27" Type="http://schemas.openxmlformats.org/officeDocument/2006/relationships/hyperlink" Target="https://www.nice.org.uk/guidance/qs50/resources/guidance-mental-wellbeing-of-older-people-in-care-home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20and%20Standard%20Letters\Phase%201%20-%20Scoping\2.%20Scope%20Consultation\TEMPLATE%20-%20Scope%20comments%20form.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 of appoints that are repairs</c:v>
                </c:pt>
              </c:strCache>
            </c:strRef>
          </c:tx>
          <c:spPr>
            <a:ln w="12700" cmpd="sng">
              <a:solidFill>
                <a:srgbClr val="000090"/>
              </a:solidFill>
            </a:ln>
          </c:spPr>
          <c:marker>
            <c:spPr>
              <a:ln w="12700" cmpd="sng">
                <a:solidFill>
                  <a:srgbClr val="000090"/>
                </a:solidFill>
              </a:ln>
            </c:spPr>
          </c:marker>
          <c:dLbls>
            <c:dLbl>
              <c:idx val="0"/>
              <c:layout>
                <c:manualLayout>
                  <c:x val="-3.62537764350453E-2"/>
                  <c:y val="-9.3567251461988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8A0-4BAE-A51B-96AB156C5470}"/>
                </c:ext>
              </c:extLst>
            </c:dLbl>
            <c:dLbl>
              <c:idx val="1"/>
              <c:layout>
                <c:manualLayout>
                  <c:x val="-3.8670694864048401E-2"/>
                  <c:y val="-8.7719298245614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8A0-4BAE-A51B-96AB156C5470}"/>
                </c:ext>
              </c:extLst>
            </c:dLbl>
            <c:dLbl>
              <c:idx val="2"/>
              <c:layout>
                <c:manualLayout>
                  <c:x val="-3.8670694864048401E-2"/>
                  <c:y val="-7.01754385964911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A0-4BAE-A51B-96AB156C5470}"/>
                </c:ext>
              </c:extLst>
            </c:dLbl>
            <c:dLbl>
              <c:idx val="3"/>
              <c:layout>
                <c:manualLayout>
                  <c:x val="-4.1087613293051398E-2"/>
                  <c:y val="-5.2631578947368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8A0-4BAE-A51B-96AB156C5470}"/>
                </c:ext>
              </c:extLst>
            </c:dLbl>
            <c:dLbl>
              <c:idx val="4"/>
              <c:layout>
                <c:manualLayout>
                  <c:x val="-4.3504531722054499E-2"/>
                  <c:y val="-8.1871345029239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8A0-4BAE-A51B-96AB156C5470}"/>
                </c:ext>
              </c:extLst>
            </c:dLbl>
            <c:dLbl>
              <c:idx val="5"/>
              <c:layout>
                <c:manualLayout>
                  <c:x val="-4.3504722030592101E-2"/>
                  <c:y val="-0.105263157894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8A0-4BAE-A51B-96AB156C5470}"/>
                </c:ext>
              </c:extLst>
            </c:dLbl>
            <c:dLbl>
              <c:idx val="6"/>
              <c:layout>
                <c:manualLayout>
                  <c:x val="-4.5921450151057502E-2"/>
                  <c:y val="-9.941520467836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8A0-4BAE-A51B-96AB156C5470}"/>
                </c:ext>
              </c:extLst>
            </c:dLbl>
            <c:dLbl>
              <c:idx val="7"/>
              <c:layout>
                <c:manualLayout>
                  <c:x val="-4.5921640459595299E-2"/>
                  <c:y val="-9.3567251461988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8A0-4BAE-A51B-96AB156C5470}"/>
                </c:ext>
              </c:extLst>
            </c:dLbl>
            <c:dLbl>
              <c:idx val="8"/>
              <c:layout>
                <c:manualLayout>
                  <c:x val="-4.8338368580060402E-2"/>
                  <c:y val="-9.941520467836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8A0-4BAE-A51B-96AB156C5470}"/>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2004-05</c:v>
                </c:pt>
                <c:pt idx="1">
                  <c:v>2005-06</c:v>
                </c:pt>
                <c:pt idx="2">
                  <c:v>2006-07</c:v>
                </c:pt>
                <c:pt idx="3">
                  <c:v>2007-08</c:v>
                </c:pt>
                <c:pt idx="4">
                  <c:v>2008-09</c:v>
                </c:pt>
                <c:pt idx="5">
                  <c:v>2009-10</c:v>
                </c:pt>
                <c:pt idx="6">
                  <c:v>2010-11</c:v>
                </c:pt>
                <c:pt idx="7">
                  <c:v>2011-12</c:v>
                </c:pt>
                <c:pt idx="8">
                  <c:v>2012-13</c:v>
                </c:pt>
              </c:strCache>
            </c:strRef>
          </c:cat>
          <c:val>
            <c:numRef>
              <c:f>Sheet1!$B$2:$B$10</c:f>
              <c:numCache>
                <c:formatCode>0%</c:formatCode>
                <c:ptCount val="9"/>
                <c:pt idx="0">
                  <c:v>0.52273859255479405</c:v>
                </c:pt>
                <c:pt idx="1">
                  <c:v>0.53309649867638997</c:v>
                </c:pt>
                <c:pt idx="2">
                  <c:v>0.55911477654215203</c:v>
                </c:pt>
                <c:pt idx="3">
                  <c:v>0.42508047742939198</c:v>
                </c:pt>
                <c:pt idx="4">
                  <c:v>0.456348159467863</c:v>
                </c:pt>
                <c:pt idx="5">
                  <c:v>0.42320346795700398</c:v>
                </c:pt>
                <c:pt idx="6">
                  <c:v>0.42867019567858999</c:v>
                </c:pt>
                <c:pt idx="7">
                  <c:v>0.44293080830822101</c:v>
                </c:pt>
                <c:pt idx="8">
                  <c:v>0.432318511745516</c:v>
                </c:pt>
              </c:numCache>
            </c:numRef>
          </c:val>
          <c:smooth val="0"/>
          <c:extLst>
            <c:ext xmlns:c16="http://schemas.microsoft.com/office/drawing/2014/chart" uri="{C3380CC4-5D6E-409C-BE32-E72D297353CC}">
              <c16:uniqueId val="{00000009-28A0-4BAE-A51B-96AB156C5470}"/>
            </c:ext>
          </c:extLst>
        </c:ser>
        <c:dLbls>
          <c:showLegendKey val="0"/>
          <c:showVal val="0"/>
          <c:showCatName val="0"/>
          <c:showSerName val="0"/>
          <c:showPercent val="0"/>
          <c:showBubbleSize val="0"/>
        </c:dLbls>
        <c:marker val="1"/>
        <c:smooth val="0"/>
        <c:axId val="370789112"/>
        <c:axId val="371828024"/>
      </c:lineChart>
      <c:catAx>
        <c:axId val="37078911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txPr>
          <a:bodyPr/>
          <a:lstStyle/>
          <a:p>
            <a:pPr>
              <a:defRPr sz="900"/>
            </a:pPr>
            <a:endParaRPr lang="en-US"/>
          </a:p>
        </c:txPr>
        <c:crossAx val="371828024"/>
        <c:crosses val="autoZero"/>
        <c:auto val="1"/>
        <c:lblAlgn val="ctr"/>
        <c:lblOffset val="100"/>
        <c:noMultiLvlLbl val="0"/>
      </c:catAx>
      <c:valAx>
        <c:axId val="371828024"/>
        <c:scaling>
          <c:orientation val="minMax"/>
          <c:max val="1"/>
        </c:scaling>
        <c:delete val="0"/>
        <c:axPos val="l"/>
        <c:majorGridlines/>
        <c:title>
          <c:tx>
            <c:rich>
              <a:bodyPr rot="-5400000" vert="horz"/>
              <a:lstStyle/>
              <a:p>
                <a:pPr>
                  <a:defRPr/>
                </a:pPr>
                <a:r>
                  <a:rPr lang="en-US"/>
                  <a:t>% of</a:t>
                </a:r>
                <a:r>
                  <a:rPr lang="en-US" baseline="0"/>
                  <a:t> patient visits that are for repairs</a:t>
                </a:r>
                <a:endParaRPr lang="en-US"/>
              </a:p>
            </c:rich>
          </c:tx>
          <c:overlay val="0"/>
        </c:title>
        <c:numFmt formatCode="0%" sourceLinked="1"/>
        <c:majorTickMark val="out"/>
        <c:minorTickMark val="none"/>
        <c:tickLblPos val="nextTo"/>
        <c:crossAx val="370789112"/>
        <c:crosses val="autoZero"/>
        <c:crossBetween val="between"/>
      </c:valAx>
    </c:plotArea>
    <c:plotVisOnly val="1"/>
    <c:dispBlanksAs val="gap"/>
    <c:showDLblsOverMax val="0"/>
  </c:chart>
  <c:spPr>
    <a:ln w="6350" cmpd="sng">
      <a:noFill/>
    </a:ln>
  </c:spPr>
  <c:txPr>
    <a:bodyPr/>
    <a:lstStyle/>
    <a:p>
      <a:pPr algn="l">
        <a:defRPr>
          <a:latin typeface="Arial Narrow"/>
          <a:cs typeface="Arial Narrow"/>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14962773930367099"/>
          <c:y val="7.4349442379182201E-2"/>
          <c:w val="0.61719267621667795"/>
          <c:h val="0.74706033493025303"/>
        </c:manualLayout>
      </c:layout>
      <c:lineChart>
        <c:grouping val="standard"/>
        <c:varyColors val="0"/>
        <c:ser>
          <c:idx val="0"/>
          <c:order val="0"/>
          <c:tx>
            <c:strRef>
              <c:f>Sheet1!$B$1</c:f>
              <c:strCache>
                <c:ptCount val="1"/>
                <c:pt idx="0">
                  <c:v>Assessments</c:v>
                </c:pt>
              </c:strCache>
            </c:strRef>
          </c:tx>
          <c:spPr>
            <a:ln w="9525" cmpd="sng"/>
          </c:spPr>
          <c:marker>
            <c:spPr>
              <a:ln w="9525" cmpd="sng"/>
            </c:spPr>
          </c:marker>
          <c:cat>
            <c:strRef>
              <c:f>Sheet1!$A$2:$A$11</c:f>
              <c:strCache>
                <c:ptCount val="10"/>
                <c:pt idx="0">
                  <c:v>2003-04</c:v>
                </c:pt>
                <c:pt idx="1">
                  <c:v>2004-05</c:v>
                </c:pt>
                <c:pt idx="2">
                  <c:v>2005-06</c:v>
                </c:pt>
                <c:pt idx="3">
                  <c:v>2006-07</c:v>
                </c:pt>
                <c:pt idx="4">
                  <c:v>2007-08</c:v>
                </c:pt>
                <c:pt idx="5">
                  <c:v>2008-09</c:v>
                </c:pt>
                <c:pt idx="6">
                  <c:v>2009-10</c:v>
                </c:pt>
                <c:pt idx="7">
                  <c:v>2010-11</c:v>
                </c:pt>
                <c:pt idx="8">
                  <c:v>2011-12</c:v>
                </c:pt>
                <c:pt idx="9">
                  <c:v>2012-13</c:v>
                </c:pt>
              </c:strCache>
            </c:strRef>
          </c:cat>
          <c:val>
            <c:numRef>
              <c:f>Sheet1!$B$2:$B$11</c:f>
              <c:numCache>
                <c:formatCode>#,##0</c:formatCode>
                <c:ptCount val="10"/>
                <c:pt idx="0" formatCode="General">
                  <c:v>961</c:v>
                </c:pt>
                <c:pt idx="1">
                  <c:v>2264</c:v>
                </c:pt>
                <c:pt idx="2">
                  <c:v>2224</c:v>
                </c:pt>
                <c:pt idx="3">
                  <c:v>2276</c:v>
                </c:pt>
                <c:pt idx="4" formatCode="General">
                  <c:v>3591</c:v>
                </c:pt>
                <c:pt idx="5" formatCode="General">
                  <c:v>3657</c:v>
                </c:pt>
                <c:pt idx="6" formatCode="General">
                  <c:v>4076</c:v>
                </c:pt>
                <c:pt idx="7" formatCode="General">
                  <c:v>4515</c:v>
                </c:pt>
                <c:pt idx="8" formatCode="General">
                  <c:v>4928</c:v>
                </c:pt>
                <c:pt idx="9" formatCode="General">
                  <c:v>5000</c:v>
                </c:pt>
              </c:numCache>
            </c:numRef>
          </c:val>
          <c:smooth val="0"/>
          <c:extLst>
            <c:ext xmlns:c16="http://schemas.microsoft.com/office/drawing/2014/chart" uri="{C3380CC4-5D6E-409C-BE32-E72D297353CC}">
              <c16:uniqueId val="{00000000-422A-43F5-BA0B-3868F5EAF223}"/>
            </c:ext>
          </c:extLst>
        </c:ser>
        <c:dLbls>
          <c:showLegendKey val="0"/>
          <c:showVal val="0"/>
          <c:showCatName val="0"/>
          <c:showSerName val="0"/>
          <c:showPercent val="0"/>
          <c:showBubbleSize val="0"/>
        </c:dLbls>
        <c:marker val="1"/>
        <c:smooth val="0"/>
        <c:axId val="371827632"/>
        <c:axId val="371828416"/>
      </c:lineChart>
      <c:catAx>
        <c:axId val="371827632"/>
        <c:scaling>
          <c:orientation val="minMax"/>
        </c:scaling>
        <c:delete val="0"/>
        <c:axPos val="b"/>
        <c:title>
          <c:tx>
            <c:rich>
              <a:bodyPr/>
              <a:lstStyle/>
              <a:p>
                <a:pPr>
                  <a:defRPr/>
                </a:pPr>
                <a:r>
                  <a:rPr lang="en-US"/>
                  <a:t>NHS Year</a:t>
                </a:r>
              </a:p>
            </c:rich>
          </c:tx>
          <c:layout>
            <c:manualLayout>
              <c:xMode val="edge"/>
              <c:yMode val="edge"/>
              <c:x val="0.73848833370646205"/>
              <c:y val="0.92249607274927103"/>
            </c:manualLayout>
          </c:layout>
          <c:overlay val="0"/>
        </c:title>
        <c:numFmt formatCode="General" sourceLinked="1"/>
        <c:majorTickMark val="out"/>
        <c:minorTickMark val="none"/>
        <c:tickLblPos val="nextTo"/>
        <c:crossAx val="371828416"/>
        <c:crosses val="autoZero"/>
        <c:auto val="1"/>
        <c:lblAlgn val="ctr"/>
        <c:lblOffset val="100"/>
        <c:noMultiLvlLbl val="0"/>
      </c:catAx>
      <c:valAx>
        <c:axId val="371828416"/>
        <c:scaling>
          <c:orientation val="minMax"/>
        </c:scaling>
        <c:delete val="0"/>
        <c:axPos val="l"/>
        <c:majorGridlines/>
        <c:title>
          <c:tx>
            <c:rich>
              <a:bodyPr rot="-5400000" vert="horz"/>
              <a:lstStyle/>
              <a:p>
                <a:pPr>
                  <a:defRPr/>
                </a:pPr>
                <a:r>
                  <a:rPr lang="en-US"/>
                  <a:t>Average</a:t>
                </a:r>
                <a:r>
                  <a:rPr lang="en-US" baseline="0"/>
                  <a:t> Activity per Centre</a:t>
                </a:r>
                <a:endParaRPr lang="en-US"/>
              </a:p>
            </c:rich>
          </c:tx>
          <c:layout>
            <c:manualLayout>
              <c:xMode val="edge"/>
              <c:yMode val="edge"/>
              <c:x val="9.6385542168674707E-3"/>
              <c:y val="0.19395935173530801"/>
            </c:manualLayout>
          </c:layout>
          <c:overlay val="0"/>
        </c:title>
        <c:numFmt formatCode="General" sourceLinked="1"/>
        <c:majorTickMark val="out"/>
        <c:minorTickMark val="none"/>
        <c:tickLblPos val="nextTo"/>
        <c:crossAx val="371827632"/>
        <c:crosses val="autoZero"/>
        <c:crossBetween val="between"/>
      </c:valAx>
      <c:spPr>
        <a:ln w="6350" cmpd="sng"/>
      </c:spPr>
    </c:plotArea>
    <c:legend>
      <c:legendPos val="r"/>
      <c:overlay val="0"/>
    </c:legend>
    <c:plotVisOnly val="1"/>
    <c:dispBlanksAs val="gap"/>
    <c:showDLblsOverMax val="0"/>
  </c:chart>
  <c:spPr>
    <a:ln>
      <a:noFill/>
    </a:ln>
  </c:spPr>
  <c:txPr>
    <a:bodyPr/>
    <a:lstStyle/>
    <a:p>
      <a:pPr>
        <a:defRPr>
          <a:latin typeface="Arial Narrow"/>
          <a:cs typeface="Arial Narrow"/>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strRef>
              <c:f>Sheet1!$B$1</c:f>
              <c:strCache>
                <c:ptCount val="1"/>
                <c:pt idx="0">
                  <c:v>% of appoints that are repairs</c:v>
                </c:pt>
              </c:strCache>
            </c:strRef>
          </c:tx>
          <c:spPr>
            <a:ln w="12700" cmpd="sng">
              <a:solidFill>
                <a:srgbClr val="000090"/>
              </a:solidFill>
            </a:ln>
          </c:spPr>
          <c:marker>
            <c:spPr>
              <a:ln w="12700" cmpd="sng">
                <a:solidFill>
                  <a:srgbClr val="000090"/>
                </a:solidFill>
              </a:ln>
            </c:spPr>
          </c:marker>
          <c:dLbls>
            <c:dLbl>
              <c:idx val="0"/>
              <c:layout>
                <c:manualLayout>
                  <c:x val="-3.62537764350453E-2"/>
                  <c:y val="-9.3567251461988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5B-434A-9248-DA547BFEC2BE}"/>
                </c:ext>
              </c:extLst>
            </c:dLbl>
            <c:dLbl>
              <c:idx val="1"/>
              <c:layout>
                <c:manualLayout>
                  <c:x val="-3.8670694864048401E-2"/>
                  <c:y val="-8.7719298245614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5B-434A-9248-DA547BFEC2BE}"/>
                </c:ext>
              </c:extLst>
            </c:dLbl>
            <c:dLbl>
              <c:idx val="2"/>
              <c:layout>
                <c:manualLayout>
                  <c:x val="-3.8670694864048401E-2"/>
                  <c:y val="-7.01754385964911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5B-434A-9248-DA547BFEC2BE}"/>
                </c:ext>
              </c:extLst>
            </c:dLbl>
            <c:dLbl>
              <c:idx val="3"/>
              <c:layout>
                <c:manualLayout>
                  <c:x val="-4.1087613293051398E-2"/>
                  <c:y val="-5.26315789473683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5B-434A-9248-DA547BFEC2BE}"/>
                </c:ext>
              </c:extLst>
            </c:dLbl>
            <c:dLbl>
              <c:idx val="4"/>
              <c:layout>
                <c:manualLayout>
                  <c:x val="-4.3504531722054499E-2"/>
                  <c:y val="-8.18713450292397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5B-434A-9248-DA547BFEC2BE}"/>
                </c:ext>
              </c:extLst>
            </c:dLbl>
            <c:dLbl>
              <c:idx val="5"/>
              <c:layout>
                <c:manualLayout>
                  <c:x val="-4.3504722030592101E-2"/>
                  <c:y val="-0.105263157894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5B-434A-9248-DA547BFEC2BE}"/>
                </c:ext>
              </c:extLst>
            </c:dLbl>
            <c:dLbl>
              <c:idx val="6"/>
              <c:layout>
                <c:manualLayout>
                  <c:x val="-4.5921450151057502E-2"/>
                  <c:y val="-9.941520467836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A5B-434A-9248-DA547BFEC2BE}"/>
                </c:ext>
              </c:extLst>
            </c:dLbl>
            <c:dLbl>
              <c:idx val="7"/>
              <c:layout>
                <c:manualLayout>
                  <c:x val="-4.5921640459595299E-2"/>
                  <c:y val="-9.3567251461988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A5B-434A-9248-DA547BFEC2BE}"/>
                </c:ext>
              </c:extLst>
            </c:dLbl>
            <c:dLbl>
              <c:idx val="8"/>
              <c:layout>
                <c:manualLayout>
                  <c:x val="-4.8338368580060402E-2"/>
                  <c:y val="-9.94152046783624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A5B-434A-9248-DA547BFEC2BE}"/>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Sheet1!$A$2:$A$10</c:f>
              <c:strCache>
                <c:ptCount val="9"/>
                <c:pt idx="0">
                  <c:v>2004-05</c:v>
                </c:pt>
                <c:pt idx="1">
                  <c:v>2005-06</c:v>
                </c:pt>
                <c:pt idx="2">
                  <c:v>2006-07</c:v>
                </c:pt>
                <c:pt idx="3">
                  <c:v>2007-08</c:v>
                </c:pt>
                <c:pt idx="4">
                  <c:v>2008-09</c:v>
                </c:pt>
                <c:pt idx="5">
                  <c:v>2009-10</c:v>
                </c:pt>
                <c:pt idx="6">
                  <c:v>2010-11</c:v>
                </c:pt>
                <c:pt idx="7">
                  <c:v>2011-12</c:v>
                </c:pt>
                <c:pt idx="8">
                  <c:v>2012-13</c:v>
                </c:pt>
              </c:strCache>
            </c:strRef>
          </c:cat>
          <c:val>
            <c:numRef>
              <c:f>Sheet1!$B$2:$B$10</c:f>
              <c:numCache>
                <c:formatCode>0%</c:formatCode>
                <c:ptCount val="9"/>
                <c:pt idx="0">
                  <c:v>0.52273859255479405</c:v>
                </c:pt>
                <c:pt idx="1">
                  <c:v>0.53309649867638997</c:v>
                </c:pt>
                <c:pt idx="2">
                  <c:v>0.55911477654215203</c:v>
                </c:pt>
                <c:pt idx="3">
                  <c:v>0.42508047742939198</c:v>
                </c:pt>
                <c:pt idx="4">
                  <c:v>0.456348159467863</c:v>
                </c:pt>
                <c:pt idx="5">
                  <c:v>0.42320346795700398</c:v>
                </c:pt>
                <c:pt idx="6">
                  <c:v>0.42867019567858999</c:v>
                </c:pt>
                <c:pt idx="7">
                  <c:v>0.44293080830822101</c:v>
                </c:pt>
                <c:pt idx="8">
                  <c:v>0.432318511745516</c:v>
                </c:pt>
              </c:numCache>
            </c:numRef>
          </c:val>
          <c:smooth val="0"/>
          <c:extLst>
            <c:ext xmlns:c16="http://schemas.microsoft.com/office/drawing/2014/chart" uri="{C3380CC4-5D6E-409C-BE32-E72D297353CC}">
              <c16:uniqueId val="{00000009-1A5B-434A-9248-DA547BFEC2BE}"/>
            </c:ext>
          </c:extLst>
        </c:ser>
        <c:dLbls>
          <c:showLegendKey val="0"/>
          <c:showVal val="0"/>
          <c:showCatName val="0"/>
          <c:showSerName val="0"/>
          <c:showPercent val="0"/>
          <c:showBubbleSize val="0"/>
        </c:dLbls>
        <c:marker val="1"/>
        <c:smooth val="0"/>
        <c:axId val="309300384"/>
        <c:axId val="371755616"/>
      </c:lineChart>
      <c:catAx>
        <c:axId val="30930038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txPr>
          <a:bodyPr/>
          <a:lstStyle/>
          <a:p>
            <a:pPr>
              <a:defRPr sz="900"/>
            </a:pPr>
            <a:endParaRPr lang="en-US"/>
          </a:p>
        </c:txPr>
        <c:crossAx val="371755616"/>
        <c:crosses val="autoZero"/>
        <c:auto val="1"/>
        <c:lblAlgn val="ctr"/>
        <c:lblOffset val="100"/>
        <c:noMultiLvlLbl val="0"/>
      </c:catAx>
      <c:valAx>
        <c:axId val="371755616"/>
        <c:scaling>
          <c:orientation val="minMax"/>
          <c:max val="1"/>
        </c:scaling>
        <c:delete val="0"/>
        <c:axPos val="l"/>
        <c:majorGridlines/>
        <c:title>
          <c:tx>
            <c:rich>
              <a:bodyPr rot="-5400000" vert="horz"/>
              <a:lstStyle/>
              <a:p>
                <a:pPr>
                  <a:defRPr/>
                </a:pPr>
                <a:r>
                  <a:rPr lang="en-US"/>
                  <a:t>% of</a:t>
                </a:r>
                <a:r>
                  <a:rPr lang="en-US" baseline="0"/>
                  <a:t> patient visits that are for repairs</a:t>
                </a:r>
                <a:endParaRPr lang="en-US"/>
              </a:p>
            </c:rich>
          </c:tx>
          <c:overlay val="0"/>
        </c:title>
        <c:numFmt formatCode="0%" sourceLinked="1"/>
        <c:majorTickMark val="out"/>
        <c:minorTickMark val="none"/>
        <c:tickLblPos val="nextTo"/>
        <c:crossAx val="309300384"/>
        <c:crosses val="autoZero"/>
        <c:crossBetween val="between"/>
      </c:valAx>
    </c:plotArea>
    <c:plotVisOnly val="1"/>
    <c:dispBlanksAs val="gap"/>
    <c:showDLblsOverMax val="0"/>
  </c:chart>
  <c:spPr>
    <a:ln w="6350" cmpd="sng">
      <a:noFill/>
    </a:ln>
  </c:spPr>
  <c:txPr>
    <a:bodyPr/>
    <a:lstStyle/>
    <a:p>
      <a:pPr algn="l">
        <a:defRPr>
          <a:latin typeface="Arial Narrow"/>
          <a:cs typeface="Arial Narrow"/>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8F0F8-981E-4202-A6AB-7F5407DE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Scope comments form</Template>
  <TotalTime>1</TotalTime>
  <Pages>25</Pages>
  <Words>4996</Words>
  <Characters>28482</Characters>
  <Application>Microsoft Office Word</Application>
  <DocSecurity>0</DocSecurity>
  <Lines>237</Lines>
  <Paragraphs>66</Paragraphs>
  <ScaleCrop>false</ScaleCrop>
  <Company>NICE</Company>
  <LinksUpToDate>false</LinksUpToDate>
  <CharactersWithSpaces>33412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Schizophrenia Guideline</dc:title>
  <dc:creator>Margaret Ghlaimi</dc:creator>
  <cp:lastModifiedBy>Harjit Sandhu</cp:lastModifiedBy>
  <cp:revision>9</cp:revision>
  <cp:lastPrinted>2014-03-26T12:19:00Z</cp:lastPrinted>
  <dcterms:created xsi:type="dcterms:W3CDTF">2015-11-03T10:29:00Z</dcterms:created>
  <dcterms:modified xsi:type="dcterms:W3CDTF">2020-09-08T11:10:00Z</dcterms:modified>
</cp:coreProperties>
</file>